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2380" w:after="220"/>
        <w:jc w:val="center"/>
      </w:pPr>
      <w:r>
        <w:rPr>
          <w:b/>
          <w:bCs/>
          <w:color w:val="4472C4"/>
          <w:sz w:val="56"/>
          <w:szCs w:val="56"/>
        </w:rPr>
        <w:t xml:space="preserve">Manuale Installatore</w:t>
      </w:r>
    </w:p>
    <w:p>
      <w:pPr>
        <w:spacing w:after="70"/>
        <w:jc w:val="center"/>
      </w:pPr>
      <w:r>
        <w:rPr>
          <w:b/>
          <w:bCs/>
          <w:color w:val="1F1F1F"/>
          <w:sz w:val="34"/>
          <w:szCs w:val="34"/>
        </w:rPr>
        <w:t xml:space="preserve">ICRB (CESACW10B4W1)</w:t>
      </w:r>
    </w:p>
    <w:p>
      <w:pPr>
        <w:spacing w:after="220"/>
        <w:jc w:val="center"/>
      </w:pPr>
      <w:r>
        <w:rPr>
          <w:i/>
          <w:iCs/>
          <w:color w:val="666666"/>
          <w:sz w:val="24"/>
          <w:szCs w:val="24"/>
        </w:rPr>
        <w:t xml:space="preserve">CONTROLLER dotato di interfaccia di rete WiFi per connettersi al sistema Ipdoor e di interfacce a bus (RS485 e/o Wiegand) per connettersi ai lettori. Il controller è anche dotato di 1 uscita relè, 1 uscita alimentata, 1 ingresso per pilotare serrature e attuatori elettromeccanici e per collegare pulsanti o sensori. L'alimentazione è diretta in 220VaC e può alimentare direttamente un lettore.</w:t>
      </w:r>
    </w:p>
    <w:tbl>
      <w:tblPr>
        <w:tblW w:type="pct" w:w="68%"/>
        <w:jc w:val="center"/>
        <w:tblBorders>
          <w:top w:val="none" w:color="FFFFFF" w:sz="0"/>
          <w:left w:val="none" w:color="FFFFFF" w:sz="0"/>
          <w:bottom w:val="none" w:color="FFFFFF" w:sz="0"/>
          <w:right w:val="none" w:color="FFFFFF" w:sz="0"/>
          <w:insideH w:val="none" w:color="FFFFFF" w:sz="0"/>
          <w:insideV w:val="none" w:color="FFFFFF" w:sz="0"/>
        </w:tblBorders>
      </w:tblPr>
      <w:tblGrid>
        <w:gridCol w:w="100"/>
      </w:tblGrid>
      <w:tr>
        <w:tc>
          <w:tcPr>
            <w:tcBorders>
              <w:top w:val="single" w:color="D9E2F3" w:sz="6"/>
              <w:left w:val="single" w:color="D9E2F3" w:sz="6"/>
              <w:bottom w:val="single" w:color="D9E2F3" w:sz="6"/>
              <w:right w:val="single" w:color="D9E2F3" w:sz="6"/>
            </w:tcBorders>
            <w:shd w:fill="F4F7FB" w:color="auto"/>
            <w:tcMar>
              <w:top w:type="dxa" w:w="180"/>
              <w:left w:type="dxa" w:w="260"/>
              <w:bottom w:type="dxa" w:w="180"/>
              <w:right w:type="dxa" w:w="260"/>
            </w:tcMar>
          </w:tcPr>
          <w:p>
            <w:pPr>
              <w:spacing w:after="90"/>
              <w:jc w:val="left"/>
            </w:pPr>
            <w:r>
              <w:rPr>
                <w:b/>
                <w:bCs/>
                <w:color w:val="4472C4"/>
                <w:sz w:val="17"/>
                <w:szCs w:val="17"/>
              </w:rPr>
              <w:t xml:space="preserve">ID PRODOTTO  </w:t>
            </w:r>
            <w:r>
              <w:rPr>
                <w:color w:val="1F1F1F"/>
                <w:sz w:val="24"/>
                <w:szCs w:val="24"/>
              </w:rPr>
              <w:t xml:space="preserve">controller-ICRB</w:t>
            </w:r>
          </w:p>
          <w:p>
            <w:pPr>
              <w:spacing w:after="90"/>
              <w:jc w:val="left"/>
            </w:pPr>
            <w:r>
              <w:rPr>
                <w:b/>
                <w:bCs/>
                <w:color w:val="4472C4"/>
                <w:sz w:val="17"/>
                <w:szCs w:val="17"/>
              </w:rPr>
              <w:t xml:space="preserve">CATEGORIA  </w:t>
            </w:r>
            <w:r>
              <w:rPr>
                <w:color w:val="1F1F1F"/>
                <w:sz w:val="24"/>
                <w:szCs w:val="24"/>
              </w:rPr>
              <w:t xml:space="preserve">controller-reader</w:t>
            </w:r>
          </w:p>
          <w:p>
            <w:pPr>
              <w:spacing w:after="90"/>
              <w:jc w:val="left"/>
            </w:pPr>
            <w:r>
              <w:rPr>
                <w:b/>
                <w:bCs/>
                <w:color w:val="4472C4"/>
                <w:sz w:val="17"/>
                <w:szCs w:val="17"/>
              </w:rPr>
              <w:t xml:space="preserve">LINGUA  </w:t>
            </w:r>
            <w:r>
              <w:rPr>
                <w:color w:val="1F1F1F"/>
                <w:sz w:val="24"/>
                <w:szCs w:val="24"/>
              </w:rPr>
              <w:t xml:space="preserve">IT</w:t>
            </w:r>
          </w:p>
          <w:p>
            <w:pPr>
              <w:spacing w:after="0"/>
              <w:jc w:val="left"/>
            </w:pPr>
            <w:r>
              <w:rPr>
                <w:b/>
                <w:bCs/>
                <w:color w:val="4472C4"/>
                <w:sz w:val="17"/>
                <w:szCs w:val="17"/>
              </w:rPr>
              <w:t xml:space="preserve">VERSIONE  </w:t>
            </w:r>
            <w:r>
              <w:rPr>
                <w:color w:val="1F1F1F"/>
                <w:sz w:val="24"/>
                <w:szCs w:val="24"/>
              </w:rPr>
              <w:t xml:space="preserve">1.0</w:t>
            </w:r>
          </w:p>
        </w:tc>
      </w:tr>
    </w:tbl>
    <w:p>
      <w:pPr>
        <w:pageBreakBefore/>
      </w:pPr>
    </w:p>
    <w:p>
      <w:pPr>
        <w:spacing w:after="100"/>
      </w:pPr>
      <w:r>
        <w:rPr>
          <w:b/>
          <w:bCs/>
          <w:color w:val="4472C4"/>
          <w:sz w:val="16"/>
          <w:szCs w:val="16"/>
        </w:rPr>
        <w:t xml:space="preserve">USO PREVISTO · SICUREZZA · CONFORMITÀ</w:t>
      </w:r>
    </w:p>
    <w:p>
      <w:pPr>
        <w:spacing w:after="140"/>
      </w:pPr>
      <w:r>
        <w:rPr>
          <w:b/>
          <w:bCs/>
          <w:color w:val="1F1F1F"/>
          <w:sz w:val="34"/>
          <w:szCs w:val="34"/>
        </w:rPr>
        <w:t xml:space="preserve">Sicurezza e conformità</w:t>
      </w:r>
    </w:p>
    <w:p>
      <w:pPr>
        <w:spacing w:after="160"/>
      </w:pPr>
      <w:r>
        <w:t xml:space="preserve">Questa pagina riassume i blocchi di avvertenza che compaiono più spesso nei manuali installatore professionali per postazioni esterne videocitofoniche. Simboli, direttive e diciture devono sempre essere coerenti con il fascicolo tecnico del modello specifico.</w:t>
      </w:r>
    </w:p>
    <w:p>
      <w:pPr>
        <w:spacing w:before="80" w:after="100"/>
      </w:pPr>
      <w:r>
        <w:rPr>
          <w:b/>
          <w:bCs/>
          <w:color w:val="4472C4"/>
        </w:rPr>
        <w:t xml:space="preserve">Simboli usuali / da sostituire con artwork ufficiale</w:t>
      </w:r>
    </w:p>
    <w:p>
      <w:pPr>
        <w:spacing w:after="140"/>
      </w:pPr>
      <w:r>
        <w:t xml:space="preserve">Questi badge sono segnaposto grafici per l’impaginazione del manuale. In versione finale, CE, RAEE e gli altri marchi regolatori devono essere sostituiti con i simboli vettoriali ufficiali del produttore.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50%"/>
          </w:tcPr>
          <w:p>
            <w:pPr>
              <w:spacing w:after="70"/>
            </w:pPr>
            <w:r>
              <w:rPr>
                <w:b/>
                <w:bCs/>
                <w:color w:val="4472C4"/>
              </w:rPr>
              <w:t xml:space="preserve">LEGGI</w:t>
            </w:r>
          </w:p>
          <w:p>
            <w:pPr>
              <w:spacing w:after="40"/>
            </w:pPr>
            <w:r>
              <w:t xml:space="preserve">Leggere il manuale prima dell’installazione</w:t>
            </w:r>
          </w:p>
        </w:tc>
        <w:tc>
          <w:tcPr>
            <w:tcW w:type="pct" w:w="50%"/>
          </w:tcPr>
          <w:p>
            <w:pPr>
              <w:spacing w:after="70"/>
            </w:pPr>
            <w:r>
              <w:rPr>
                <w:b/>
                <w:bCs/>
                <w:color w:val="4472C4"/>
              </w:rPr>
              <w:t xml:space="preserve">ATTN</w:t>
            </w:r>
          </w:p>
          <w:p>
            <w:pPr>
              <w:spacing w:after="40"/>
            </w:pPr>
            <w:r>
              <w:t xml:space="preserve">Avvertenze e cautele importanti</w:t>
            </w:r>
          </w:p>
        </w:tc>
      </w:tr>
      <w:tr>
        <w:tc>
          <w:tcPr>
            <w:tcW w:type="pct" w:w="50%"/>
          </w:tcPr>
          <w:p>
            <w:pPr>
              <w:spacing w:after="70"/>
            </w:pPr>
            <w:r>
              <w:rPr>
                <w:b/>
                <w:bCs/>
                <w:color w:val="4472C4"/>
              </w:rPr>
              <w:t xml:space="preserve">TECH</w:t>
            </w:r>
          </w:p>
          <w:p>
            <w:pPr>
              <w:spacing w:after="40"/>
            </w:pPr>
            <w:r>
              <w:t xml:space="preserve">Installazione da personale qualificato</w:t>
            </w:r>
          </w:p>
        </w:tc>
        <w:tc>
          <w:tcPr>
            <w:tcW w:type="pct" w:w="50%"/>
          </w:tcPr>
          <w:p>
            <w:pPr>
              <w:spacing w:after="70"/>
            </w:pPr>
            <w:r>
              <w:rPr>
                <w:b/>
                <w:bCs/>
                <w:color w:val="4472C4"/>
              </w:rPr>
              <w:t xml:space="preserve">OFF</w:t>
            </w:r>
          </w:p>
          <w:p>
            <w:pPr>
              <w:spacing w:after="40"/>
            </w:pPr>
            <w:r>
              <w:t xml:space="preserve">Disinserire alimentazione prima del cablaggio</w:t>
            </w:r>
          </w:p>
        </w:tc>
      </w:tr>
      <w:tr>
        <w:tc>
          <w:tcPr>
            <w:tcW w:type="pct" w:w="50%"/>
          </w:tcPr>
          <w:p>
            <w:pPr>
              <w:spacing w:after="70"/>
            </w:pPr>
            <w:r>
              <w:rPr>
                <w:b/>
                <w:bCs/>
                <w:color w:val="4472C4"/>
              </w:rPr>
              <w:t xml:space="preserve">CE</w:t>
            </w:r>
          </w:p>
          <w:p>
            <w:pPr>
              <w:spacing w:after="40"/>
            </w:pPr>
            <w:r>
              <w:t xml:space="preserve">Marcatura CE ove applicabile</w:t>
            </w:r>
          </w:p>
        </w:tc>
        <w:tc>
          <w:tcPr>
            <w:tcW w:type="pct" w:w="50%"/>
          </w:tcPr>
          <w:p>
            <w:pPr>
              <w:spacing w:after="70"/>
            </w:pPr>
            <w:r>
              <w:rPr>
                <w:b/>
                <w:bCs/>
                <w:color w:val="4472C4"/>
              </w:rPr>
              <w:t xml:space="preserve">RAEE</w:t>
            </w:r>
          </w:p>
          <w:p>
            <w:pPr>
              <w:spacing w:after="40"/>
            </w:pPr>
            <w:r>
              <w:t xml:space="preserve">Raccolta differenziata / RAEE</w:t>
            </w:r>
          </w:p>
        </w:tc>
      </w:tr>
    </w:tbl>
    <w:p>
      <w:pPr>
        <w:spacing w:before="180" w:after="100"/>
      </w:pPr>
      <w:r>
        <w:rPr>
          <w:b/>
          <w:bCs/>
          <w:color w:val="4472C4"/>
        </w:rPr>
        <w:t xml:space="preserve">SICUREZZA E CONFORMITÀ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50%"/>
          </w:tcPr>
          <w:p>
            <w:pPr>
              <w:spacing w:after="70"/>
            </w:pPr>
            <w:r>
              <w:rPr>
                <w:b/>
                <w:bCs/>
                <w:color w:val="4472C4"/>
              </w:rPr>
              <w:t xml:space="preserve">Uso previsto</w:t>
            </w:r>
          </w:p>
          <w:p>
            <w:r>
              <w:t xml:space="preserve">Dispositivo destinato a sistemi di comunicazione audio/video e controllo accessi in edifici residenziali, commerciali, industriali e pubblici. Qualsiasi impiego diverso da quello previsto è da considerarsi improprio.</w:t>
            </w:r>
          </w:p>
        </w:tc>
        <w:tc>
          <w:tcPr>
            <w:tcW w:type="pct" w:w="50%"/>
          </w:tcPr>
          <w:p>
            <w:pPr>
              <w:spacing w:after="70"/>
            </w:pPr>
            <w:r>
              <w:rPr>
                <w:b/>
                <w:bCs/>
                <w:color w:val="4472C4"/>
              </w:rPr>
              <w:t xml:space="preserve">Installazione qualificata</w:t>
            </w:r>
          </w:p>
          <w:p>
            <w:r>
              <w:t xml:space="preserve">Installazione, configurazione, messa in servizio e manutenzione straordinaria devono essere eseguite da personale qualificato, nel rispetto delle norme elettriche vigenti nel Paese di installazione.</w:t>
            </w:r>
          </w:p>
        </w:tc>
      </w:tr>
      <w:tr>
        <w:tc>
          <w:tcPr>
            <w:tcW w:type="pct" w:w="50%"/>
          </w:tcPr>
          <w:p>
            <w:pPr>
              <w:spacing w:after="70"/>
            </w:pPr>
            <w:r>
              <w:rPr>
                <w:b/>
                <w:bCs/>
                <w:color w:val="4472C4"/>
              </w:rPr>
              <w:t xml:space="preserve">Alimentazione e cablaggio</w:t>
            </w:r>
          </w:p>
          <w:p>
            <w:r>
              <w:t xml:space="preserve">Prima di intervenire sui collegamenti, togliere alimentazione al sistema. Usare cavi idonei, rispettare polarità, sezioni e distanze, ed evitare commistioni non previste con linee di potenza.</w:t>
            </w:r>
          </w:p>
        </w:tc>
        <w:tc>
          <w:tcPr>
            <w:tcW w:type="pct" w:w="50%"/>
          </w:tcPr>
          <w:p>
            <w:pPr>
              <w:spacing w:after="70"/>
            </w:pPr>
            <w:r>
              <w:rPr>
                <w:b/>
                <w:bCs/>
                <w:color w:val="4472C4"/>
              </w:rPr>
              <w:t xml:space="preserve">Pulizia e manutenzione</w:t>
            </w:r>
          </w:p>
          <w:p>
            <w:r>
              <w:t xml:space="preserve">Pulire con panno morbido asciutto o leggermente inumidito. Non usare alcol, solventi, spray o prodotti aggressivi. Non aprire né manomettere il dispositivo se non previsto dal costruttore.</w:t>
            </w:r>
          </w:p>
        </w:tc>
      </w:tr>
      <w:tr>
        <w:tc>
          <w:tcPr>
            <w:tcW w:type="pct" w:w="50%"/>
          </w:tcPr>
          <w:p>
            <w:pPr>
              <w:spacing w:after="70"/>
            </w:pPr>
            <w:r>
              <w:rPr>
                <w:b/>
                <w:bCs/>
                <w:color w:val="4472C4"/>
              </w:rPr>
              <w:t xml:space="preserve">Conformità documentale</w:t>
            </w:r>
          </w:p>
          <w:p>
            <w:r>
              <w:t xml:space="preserve">Marcature, dichiarazioni UE, direttive applicabili e dati radio devono corrispondere al fascicolo tecnico del modello. La documentazione deve indicare dove è disponibile la dichiarazione di conformità completa.</w:t>
            </w:r>
          </w:p>
        </w:tc>
        <w:tc>
          <w:tcPr>
            <w:tcW w:type="pct" w:w="50%"/>
          </w:tcPr>
          <w:p>
            <w:pPr>
              <w:spacing w:after="70"/>
            </w:pPr>
            <w:r>
              <w:rPr>
                <w:b/>
                <w:bCs/>
                <w:color w:val="4472C4"/>
              </w:rPr>
              <w:t xml:space="preserve">Fine vita del prodotto</w:t>
            </w:r>
          </w:p>
          <w:p>
            <w:r>
              <w:t xml:space="preserve">A fine vita il prodotto va conferito alla raccolta differenziata per apparecchiature elettriche ed elettroniche. Il simbolo RAEE e le informazioni di smaltimento devono essere riportati ove applicabili.</w:t>
            </w:r>
          </w:p>
        </w:tc>
      </w:tr>
    </w:tbl>
    <w:p>
      <w:pPr>
        <w:spacing w:before="180" w:after="80"/>
      </w:pPr>
      <w:r>
        <w:rPr>
          <w:i/>
          <w:iCs/>
        </w:rPr>
        <w:t xml:space="preserve">Per le versioni con Wi‑Fi, Bluetooth, LTE o altre interfacce radio, aggiungere il richiamo alla dichiarazione UE di conformità e le informazioni radio essenziali previste dal fascicolo tecnico.</w:t>
      </w:r>
    </w:p>
    <w:p>
      <w:pPr>
        <w:spacing w:before="100"/>
      </w:pPr>
      <w:r>
        <w:rPr>
          <w:color w:val="666666"/>
          <w:sz w:val="18"/>
          <w:szCs w:val="18"/>
        </w:rPr>
        <w:t xml:space="preserve">Contenuti consigliati, ispirati alle sezioni di sicurezza ricorrenti nei manuali installatore dei principali produttori di videocitofonia.</w:t>
      </w:r>
    </w:p>
    <w:p>
      <w:pPr>
        <w:pageBreakBefore/>
      </w:pPr>
    </w:p>
    <w:p>
      <w:pPr>
        <w:spacing w:before="420" w:after="240"/>
        <w:jc w:val="center"/>
      </w:pPr>
      <w:r>
        <w:drawing>
          <wp:inline distT="0" distB="0" distL="0" distR="0">
            <wp:extent cx="5067300" cy="40005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/>
        <w:jc w:val="left"/>
      </w:pPr>
      <w:r>
        <w:rPr>
          <w:i/>
          <w:iCs/>
          <w:sz w:val="22"/>
          <w:szCs w:val="22"/>
        </w:rPr>
        <w:t xml:space="preserve">CONTROLLER dotato di interfaccia di rete WiFi per connettersi al sistema Ipdoor e di interfacce a bus (RS485 e/o Wiegand) per connettersi ai lettori. Il controller è anche dotato di 1 uscita relè, 1 uscita alimentata, 1 ingresso per pilotare serrature e attuatori elettromeccanici e per collegare pulsanti o sensori. L'alimentazione è diretta in 220VaC e può alimentare direttamente un lettore.</w:t>
      </w:r>
    </w:p>
    <w:p>
      <w:pPr>
        <w:pageBreakBefore/>
      </w:pPr>
    </w:p>
    <w:p>
      <w:pPr>
        <w:pStyle w:val="Heading1"/>
      </w:pPr>
      <w:r>
        <w:t xml:space="preserve">Indice</w:t>
      </w:r>
    </w:p>
    <w:sdt>
      <w:sdtPr>
        <w:alias w:val="Indice"/>
      </w:sdtPr>
      <w:sdtContent>
        <w:p>
          <w:r>
            <w:fldChar w:fldCharType="begin" w:dirty="true"/>
            <w:instrText xml:space="preserve">TOC \h \o "1-3"</w:instrText>
            <w:fldChar w:fldCharType="separate"/>
          </w:r>
        </w:p>
        <w:p>
          <w:r>
            <w:fldChar w:fldCharType="end"/>
          </w:r>
        </w:p>
      </w:sdtContent>
    </w:sdt>
    <w:p>
      <w:pPr>
        <w:pageBreakBefore/>
      </w:pPr>
    </w:p>
    <w:p>
      <w:pPr>
        <w:pStyle w:val="Heading1"/>
      </w:pPr>
      <w:r>
        <w:t xml:space="preserve">1. Panoramica</w:t>
      </w:r>
    </w:p>
    <w:p>
      <w:pPr>
        <w:pStyle w:val="Heading2"/>
      </w:pPr>
      <w:r>
        <w:t xml:space="preserve">1.1 Descrizione</w:t>
      </w:r>
    </w:p>
    <w:p>
      <w:r>
        <w:t xml:space="preserve">CONTROLLER dotato di interfaccia di rete WiFi per connettersi al sistema Ipdoor e di interfacce a bus (RS485 e/o Wiegand) per connettersi ai lettori. Il controller è anche dotato di 1 uscita relè, 1 uscita alimentata, 1 ingresso per pilotare serrature e attuatori elettromeccanici e per collegare pulsanti o sensori. L'alimentazione è diretta in 220VaC e può alimentare direttamente un lettore.</w:t>
      </w:r>
    </w:p>
    <w:p>
      <w:pPr>
        <w:pageBreakBefore/>
      </w:pPr>
    </w:p>
    <w:p>
      <w:pPr>
        <w:pStyle w:val="Heading1"/>
      </w:pPr>
      <w:r>
        <w:t xml:space="preserve">2. Caratteristiche tecniche</w:t>
      </w:r>
    </w:p>
    <w:p>
      <w:r>
        <w:t xml:space="preserve">Le caratteristiche tecniche sono riportate in forma tabellare (fonte: specifiche prodotto).</w:t>
      </w:r>
    </w:p>
    <w:p>
      <w:pPr>
        <w:pageBreakBefore/>
      </w:pPr>
    </w:p>
    <w:p>
      <w:pPr>
        <w:pStyle w:val="Heading1"/>
      </w:pPr>
      <w:r>
        <w:t xml:space="preserve">3. Installazione</w:t>
      </w:r>
    </w:p>
    <w:p>
      <w:pPr>
        <w:pStyle w:val="Heading2"/>
      </w:pPr>
      <w:r>
        <w:t xml:space="preserve">3.1 Introduzione</w:t>
      </w:r>
    </w:p>
    <w:p>
      <w:pPr>
        <w:spacing w:before="140" w:after="220"/>
        <w:jc w:val="center"/>
      </w:pPr>
      <w:r>
        <w:drawing>
          <wp:inline distT="0" distB="0" distL="0" distR="0">
            <wp:extent cx="25050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</w:pPr>
      <w:r>
        <w:t xml:space="preserve">Luce led frontale</w:t>
      </w:r>
    </w:p>
    <w:p>
      <w:pPr>
        <w:pStyle w:val="ListParagraph"/>
        <w:numPr>
          <w:ilvl w:val="0"/>
          <w:numId w:val="2"/>
        </w:numPr>
      </w:pPr>
      <w:r>
        <w:t xml:space="preserve">Radar di prossimità</w:t>
      </w:r>
    </w:p>
    <w:p>
      <w:pPr>
        <w:pStyle w:val="ListParagraph"/>
        <w:numPr>
          <w:ilvl w:val="0"/>
          <w:numId w:val="2"/>
        </w:numPr>
      </w:pPr>
      <w:r>
        <w:t xml:space="preserve">Telecamera panoramica</w:t>
      </w:r>
    </w:p>
    <w:p>
      <w:pPr>
        <w:pStyle w:val="ListParagraph"/>
        <w:numPr>
          <w:ilvl w:val="0"/>
          <w:numId w:val="2"/>
        </w:numPr>
      </w:pPr>
      <w:r>
        <w:t xml:space="preserve">Schermo touch</w:t>
      </w:r>
    </w:p>
    <w:p>
      <w:pPr>
        <w:pStyle w:val="ListParagraph"/>
        <w:numPr>
          <w:ilvl w:val="0"/>
          <w:numId w:val="2"/>
        </w:numPr>
      </w:pPr>
      <w:r>
        <w:t xml:space="preserve">Tasti metallici</w:t>
      </w:r>
    </w:p>
    <w:p>
      <w:pPr>
        <w:pStyle w:val="ListParagraph"/>
        <w:numPr>
          <w:ilvl w:val="0"/>
          <w:numId w:val="2"/>
        </w:numPr>
      </w:pPr>
      <w:r>
        <w:t xml:space="preserve">Sensore di luminosità</w:t>
      </w:r>
    </w:p>
    <w:p>
      <w:pPr>
        <w:pStyle w:val="ListParagraph"/>
        <w:numPr>
          <w:ilvl w:val="0"/>
          <w:numId w:val="2"/>
        </w:numPr>
      </w:pPr>
      <w:r>
        <w:t xml:space="preserve">Microfoni</w:t>
      </w:r>
    </w:p>
    <w:p>
      <w:pPr>
        <w:pStyle w:val="ListParagraph"/>
        <w:numPr>
          <w:ilvl w:val="0"/>
          <w:numId w:val="2"/>
        </w:numPr>
      </w:pPr>
      <w:r>
        <w:t xml:space="preserve">Led infrarosso</w:t>
      </w:r>
    </w:p>
    <w:p>
      <w:pPr>
        <w:pStyle w:val="ListParagraph"/>
        <w:numPr>
          <w:ilvl w:val="0"/>
          <w:numId w:val="2"/>
        </w:numPr>
      </w:pPr>
      <w:r>
        <w:t xml:space="preserve">Telecamere per riconoscimento facciale</w:t>
      </w:r>
    </w:p>
    <w:p>
      <w:pPr>
        <w:pStyle w:val="ListParagraph"/>
        <w:numPr>
          <w:ilvl w:val="0"/>
          <w:numId w:val="2"/>
        </w:numPr>
      </w:pPr>
      <w:r>
        <w:t xml:space="preserve">Lettore NFC</w:t>
      </w:r>
    </w:p>
    <w:p>
      <w:pPr>
        <w:pStyle w:val="ListParagraph"/>
        <w:numPr>
          <w:ilvl w:val="0"/>
          <w:numId w:val="2"/>
        </w:numPr>
      </w:pPr>
      <w:r>
        <w:t xml:space="preserve">Luci del inferiori</w:t>
      </w:r>
    </w:p>
    <w:p>
      <w:pPr>
        <w:pStyle w:val="ListParagraph"/>
        <w:numPr>
          <w:ilvl w:val="0"/>
          <w:numId w:val="2"/>
        </w:numPr>
      </w:pPr>
      <w:r>
        <w:t xml:space="preserve">Logo illuminato a colori RGB</w:t>
      </w:r>
    </w:p>
    <w:p>
      <w:pPr>
        <w:pStyle w:val="Heading2"/>
      </w:pPr>
      <w:r>
        <w:t xml:space="preserve">3.2 Installazione meccanica</w:t>
      </w:r>
    </w:p>
    <w:p>
      <w:pPr>
        <w:pStyle w:val="Heading3"/>
      </w:pPr>
      <w:r>
        <w:t xml:space="preserve">Appoggio parete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Posizionare sulla parete la DIMA, con i fori in alto ad un'altezza dal suolo compresa tra 155 e 165 cm, assicurandosi che il lato "TOP" sia rivolto verso l’alto. Tracciare con una matita le posizioni dei quattro fori evidenziati in rosso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16097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Verifica</w:t>
      </w:r>
    </w:p>
    <w:p>
      <w:r>
        <w:t xml:space="preserve">Prima di procedere, verificare attentamente l’assenza di cavi o tubazioni dietro alla parete, quindi forare la parete in corrispondenza dei punti precedentemente disegnati.</w:t>
      </w:r>
    </w:p>
    <w:p>
      <w:pPr>
        <w:spacing w:before="140" w:after="220"/>
        <w:jc w:val="center"/>
      </w:pPr>
      <w:r>
        <w:drawing>
          <wp:inline distT="0" distB="0" distL="0" distR="0">
            <wp:extent cx="43338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Foratura</w:t>
      </w:r>
    </w:p>
    <w:p>
      <w:r>
        <w:t xml:space="preserve">Inserire i tasselli assicurandosi che siano perfettamente a filo parete. Applicare quindi la piastra di fissaggio e bloccarla usando le quattro viti fornite a corredo,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4953000" cy="27813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Supporto installazione</w:t>
      </w:r>
    </w:p>
    <w:p>
      <w:r>
        <w:t xml:space="preserve">Per facilitare i collegamenti alla morsettiera è disponibile un supporto che consente di appoggiare la targa durante le operazioni di cablaggio. Fissare il supporto alla piastra e stringere la vite frontale,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5337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Fissaggio piastra</w:t>
      </w:r>
    </w:p>
    <w:p>
      <w:r>
        <w:t xml:space="preserve">Procedere quindi agganciando il supporto alla piastra e collegare i cavi alla morsettiera. Una volta completati i collegamenti, sganciare il supporto dalla piastra e poi dal dispositivo.</w:t>
      </w:r>
    </w:p>
    <w:p>
      <w:pPr>
        <w:spacing w:before="140" w:after="220"/>
        <w:jc w:val="center"/>
      </w:pPr>
      <w:r>
        <w:drawing>
          <wp:inline distT="0" distB="0" distL="0" distR="0">
            <wp:extent cx="31623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6 — Fissaggio dispositivo</w:t>
      </w:r>
    </w:p>
    <w:p>
      <w:r>
        <w:t xml:space="preserve">Agganciare la targa alla piastra ed avvitare le due viti frontali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3623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7 — Chiusura</w:t>
      </w:r>
    </w:p>
    <w:p>
      <w:r>
        <w:t xml:space="preserve">Per completare l’installazione, inserire il coperchio dal basso verso l’alto, fino a sentire lo scatto.</w:t>
      </w:r>
    </w:p>
    <w:p>
      <w:pPr>
        <w:spacing w:before="140" w:after="220"/>
        <w:jc w:val="center"/>
      </w:pPr>
      <w:r>
        <w:drawing>
          <wp:inline distT="0" distB="0" distL="0" distR="0">
            <wp:extent cx="169545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8 — Smontaggio</w:t>
      </w:r>
    </w:p>
    <w:p>
      <w:r>
        <w:t xml:space="preserve">Per disinstallare la targa, inserire la chiave di sicurezza nell’apposita sede sul fondo del coperchio, spingere il coperchio verso il basso e svitare le viti frontali.</w:t>
      </w:r>
    </w:p>
    <w:p>
      <w:pPr>
        <w:spacing w:before="140" w:after="220"/>
        <w:jc w:val="center"/>
      </w:pPr>
      <w:r>
        <w:drawing>
          <wp:inline distT="0" distB="0" distL="0" distR="0">
            <wp:extent cx="24384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 xml:space="preserve">3.3 Cablaggio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ACCESSO AL CABLAGGIO: dopo aver svitato il coperchio rimuovere la vite frontale in basso e ruotare il supporto, in modo da accedere alla zona morsettiera. Individuare l’ingresso PoE e gli altri morsetti di potenza (a seconda delle esigenze come descritto nei prossimi passi).</w:t>
      </w:r>
    </w:p>
    <w:p>
      <w:pPr>
        <w:spacing w:before="140" w:after="220"/>
        <w:jc w:val="center"/>
      </w:pPr>
      <w:r>
        <w:drawing>
          <wp:inline distT="0" distB="0" distL="0" distR="0">
            <wp:extent cx="34671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Alimentazione Opzionale</w:t>
      </w:r>
    </w:p>
    <w:p>
      <w:r>
        <w:t xml:space="preserve">ALIMENTAZIONE OPZIONALE: Se la rete Ethernet non è PoE, è necessario utilizzare un alimentatore 24VDC/1A. Collegare l'alimentatore ai morsetti indicati.</w:t>
      </w:r>
    </w:p>
    <w:p>
      <w:pPr>
        <w:spacing w:before="140" w:after="220"/>
        <w:jc w:val="center"/>
      </w:pPr>
      <w:r>
        <w:drawing>
          <wp:inline distT="0" distB="0" distL="0" distR="0">
            <wp:extent cx="47529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Collegamento diretto Serratura</w:t>
      </w:r>
    </w:p>
    <w:p>
      <w:r>
        <w:t xml:space="preserve">USCITA LOCK: è possibile collegare direttamente una elettroserratura ai morsetti LOCK+ / LOCK- (max 1A, cavo ≤30m, 1.5mm²). Per carichi differenti è necessario usare un relè intermedio, come indicato negli schemi applicativi.</w:t>
      </w:r>
    </w:p>
    <w:p>
      <w:pPr>
        <w:spacing w:before="140" w:after="220"/>
        <w:jc w:val="center"/>
      </w:pPr>
      <w:r>
        <w:drawing>
          <wp:inline distT="0" distB="0" distL="0" distR="0">
            <wp:extent cx="47720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Collegamento Serratura Alimentata</w:t>
      </w:r>
    </w:p>
    <w:p>
      <w:r>
        <w:t xml:space="preserve">USCITA AUX: in questo caso l'uscita è un interruttore a contatto pulito che può pilotare un carico esterno. Se il carico è in 220VAC è necessario usare un relè di potenza.</w:t>
      </w:r>
    </w:p>
    <w:p>
      <w:pPr>
        <w:spacing w:before="140" w:after="220"/>
        <w:jc w:val="center"/>
      </w:pPr>
      <w:r>
        <w:drawing>
          <wp:inline distT="0" distB="0" distL="0" distR="0">
            <wp:extent cx="35052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Collegamento Ingressi pulsante</w:t>
      </w:r>
    </w:p>
    <w:p>
      <w:r>
        <w:t xml:space="preserve">INGRESSI: possono essere collegati fino a due ingressi (ad esempio pulsanti apriporta esterni). Gli ingressi sono programmabili. Esempio di pulsante apriporta esterno su INPUT 1 / GND.</w:t>
      </w:r>
    </w:p>
    <w:p>
      <w:pPr>
        <w:spacing w:before="140" w:after="220"/>
        <w:jc w:val="center"/>
      </w:pPr>
      <w:r>
        <w:drawing>
          <wp:inline distT="0" distB="0" distL="0" distR="0">
            <wp:extent cx="44862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/>
      </w:pPr>
    </w:p>
    <w:p>
      <w:pPr>
        <w:pStyle w:val="Heading1"/>
      </w:pPr>
      <w:r>
        <w:t xml:space="preserve">4. Note operative</w:t>
      </w:r>
    </w:p>
    <w:p>
      <w:pPr>
        <w:pStyle w:val="Heading2"/>
      </w:pPr>
      <w:r>
        <w:t xml:space="preserve">4.1 Manutenzione</w:t>
      </w:r>
    </w:p>
    <w:p>
      <w:pPr>
        <w:pStyle w:val="ListParagraph"/>
        <w:numPr>
          <w:ilvl w:val="0"/>
          <w:numId w:val="1"/>
        </w:numPr>
      </w:pPr>
      <w:r>
        <w:t xml:space="preserve">Pulire con un panno morbido.</w:t>
      </w:r>
    </w:p>
    <w:p>
      <w:pPr>
        <w:pStyle w:val="ListParagraph"/>
        <w:numPr>
          <w:ilvl w:val="0"/>
          <w:numId w:val="1"/>
        </w:numPr>
      </w:pPr>
      <w:r>
        <w:t xml:space="preserve">Non utilizzare solventi o detergenti aggressivi.</w:t>
      </w:r>
    </w:p>
    <w:p>
      <w:pPr>
        <w:pageBreakBefore/>
      </w:pPr>
    </w:p>
    <w:p>
      <w:pPr>
        <w:pStyle w:val="Heading1"/>
      </w:pPr>
      <w:r>
        <w:t xml:space="preserve">5. Revisioni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Version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Notes</w:t>
            </w:r>
          </w:p>
        </w:tc>
      </w:tr>
      <w:tr>
        <w:tc>
          <w:tcPr>
            <w:tcW w:type="pct" w:w="38%"/>
          </w:tcPr>
          <w:p>
            <w:r>
              <w:t xml:space="preserve">1.0</w:t>
            </w:r>
          </w:p>
        </w:tc>
        <w:tc>
          <w:tcPr>
            <w:tcW w:type="pct" w:w="62%"/>
          </w:tcPr>
          <w:p>
            <w:r>
              <w:t xml:space="preserve">2026-05-19</w:t>
            </w:r>
          </w:p>
        </w:tc>
      </w:tr>
    </w:tbl>
    <w:sectPr>
      <w:headerReference w:type="default" r:id="rId6"/>
      <w:footerReference w:type="default" r:id="rId7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right"/>
    </w:pPr>
    <w:r>
      <w:rPr>
        <w:color w:val="4472C4"/>
      </w:rPr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jc w:val="right"/>
    </w:pPr>
    <w:r>
      <w:rPr>
        <w:color w:val="4472C4"/>
        <w:sz w:val="18"/>
        <w:szCs w:val="18"/>
      </w:rPr>
      <w:t xml:space="preserve">IpDoor s.r.l.  Via A. Ferrero, 9a</w:t>
    </w:r>
    <w:r>
      <w:rPr>
        <w:color w:val="4472C4"/>
        <w:sz w:val="18"/>
        <w:szCs w:val="18"/>
      </w:rPr>
      <w:br/>
      <w:t xml:space="preserve">35133 – Padova (PD) ITALY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cs="Poppins" w:eastAsia="Poppins" w:hAnsi="Poppins"/>
        <w:color w:val="000000"/>
        <w:sz w:val="22"/>
        <w:szCs w:val="22"/>
      </w:rPr>
    </w:rPrDefault>
    <w:pPrDefault>
      <w:pPr>
        <w:spacing w:line="276"/>
      </w:pPr>
    </w:pPrDefault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before="360" w:after="160"/>
    </w:pPr>
    <w:rPr>
      <w:rFonts w:ascii="Poppins" w:cs="Poppins" w:eastAsia="Poppins" w:hAnsi="Poppins"/>
      <w:b/>
      <w:bCs/>
      <w:color w:val="1F4E79"/>
      <w:sz w:val="44"/>
      <w:szCs w:val="44"/>
    </w:rPr>
  </w:style>
  <w:style w:type="paragraph" w:styleId="Heading2">
    <w:name w:val="Heading 2"/>
    <w:basedOn w:val="Normal"/>
    <w:next w:val="Normal"/>
    <w:qFormat/>
    <w:pPr>
      <w:spacing w:before="200" w:after="120"/>
    </w:pPr>
    <w:rPr>
      <w:rFonts w:ascii="Poppins" w:cs="Poppins" w:eastAsia="Poppins" w:hAnsi="Poppins"/>
      <w:b/>
      <w:bCs/>
      <w:color w:val="1F4E79"/>
      <w:sz w:val="32"/>
      <w:szCs w:val="32"/>
    </w:rPr>
  </w:style>
  <w:style w:type="paragraph" w:styleId="Heading3">
    <w:name w:val="Heading 3"/>
    <w:basedOn w:val="Normal"/>
    <w:next w:val="Normal"/>
    <w:qFormat/>
    <w:pPr>
      <w:spacing w:before="160" w:after="80"/>
    </w:pPr>
    <w:rPr>
      <w:rFonts w:ascii="Poppins" w:cs="Poppins" w:eastAsia="Poppins" w:hAnsi="Poppins"/>
      <w:b/>
      <w:bCs/>
      <w:color w:val="1F4E79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f3da31bec79605bea65f25d527890643177ca678.png"/><Relationship Id="rId9" Type="http://schemas.openxmlformats.org/officeDocument/2006/relationships/image" Target="media/8e6d2875624bb111d87acaa05c8f5666d0e9be43.png"/><Relationship Id="rId10" Type="http://schemas.openxmlformats.org/officeDocument/2006/relationships/image" Target="media/d25b8ebf5f1529178da57e7eae791649938b4752.png"/><Relationship Id="rId11" Type="http://schemas.openxmlformats.org/officeDocument/2006/relationships/image" Target="media/113318f877097c80c67bfb682d4bb976a12d77a2.png"/><Relationship Id="rId12" Type="http://schemas.openxmlformats.org/officeDocument/2006/relationships/image" Target="media/a189ef943083a6db617aee5a42243e88d64f909f.png"/><Relationship Id="rId13" Type="http://schemas.openxmlformats.org/officeDocument/2006/relationships/image" Target="media/5484500107fae5fd2773fe0fa1f42020152dbbfd.png"/><Relationship Id="rId14" Type="http://schemas.openxmlformats.org/officeDocument/2006/relationships/image" Target="media/85fd97304809659633cf0f48b851bf9ac232126e.png"/><Relationship Id="rId15" Type="http://schemas.openxmlformats.org/officeDocument/2006/relationships/image" Target="media/4b623491ac680ddb3178726235b138173bebf7d8.png"/><Relationship Id="rId16" Type="http://schemas.openxmlformats.org/officeDocument/2006/relationships/image" Target="media/45aa8d2b738261b782548728e61b79b1715ba827.png"/><Relationship Id="rId17" Type="http://schemas.openxmlformats.org/officeDocument/2006/relationships/image" Target="media/dd05fd7c929bf36ff1a0c27b555914bd67d3de0b.png"/><Relationship Id="rId18" Type="http://schemas.openxmlformats.org/officeDocument/2006/relationships/image" Target="media/b0a4fe451329924befdd2d69d2ecffa87e880fb7.png"/><Relationship Id="rId19" Type="http://schemas.openxmlformats.org/officeDocument/2006/relationships/image" Target="media/7431d290fd643ecb0b2c90672c1093e86ad881e6.png"/><Relationship Id="rId20" Type="http://schemas.openxmlformats.org/officeDocument/2006/relationships/image" Target="media/1b0fce755642d1bc1af7e4d214f51f0c32caa43b.png"/><Relationship Id="rId21" Type="http://schemas.openxmlformats.org/officeDocument/2006/relationships/image" Target="media/09e49b65dd2cd79ccc594847c686e77f23530a2f.png"/><Relationship Id="rId22" Type="http://schemas.openxmlformats.org/officeDocument/2006/relationships/image" Target="media/1f9139c72be309c09bdf11095db15769581be244.png"/><Relationship Id="rId23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2026-05-19T08:41:12.862Z</dcterms:created>
  <dcterms:modified xsi:type="dcterms:W3CDTF">2026-05-19T08:41:12.862Z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