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1110 — Postazione esterna da appoggio parete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vertex-1110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VERTEX 1110 a montaggio superficiale con 10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1110 a montaggio superficiale con 10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con 10 pulsanti diretti di chiamata</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1110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Esterno Parete</w:t>
            </w:r>
          </w:p>
        </w:tc>
      </w:tr>
      <w:tr>
        <w:tc>
          <w:tcPr>
            <w:tcW w:type="pct" w:w="38%"/>
          </w:tcPr>
          <w:p>
            <w:r>
              <w:t xml:space="preserve">Colori disponibili</w:t>
            </w:r>
          </w:p>
        </w:tc>
        <w:tc>
          <w:tcPr>
            <w:tcW w:type="pct" w:w="62%"/>
          </w:tcPr>
          <w:p>
            <w:r>
              <w:t xml:space="preserve">Grigio Ombra,Argento,Acciaio Spazzolato</w:t>
            </w:r>
          </w:p>
        </w:tc>
      </w:tr>
      <w:tr>
        <w:tc>
          <w:tcPr>
            <w:tcW w:type="pct" w:w="38%"/>
          </w:tcPr>
          <w:p>
            <w:r>
              <w:t xml:space="preserve">Altezza</w:t>
            </w:r>
          </w:p>
        </w:tc>
        <w:tc>
          <w:tcPr>
            <w:tcW w:type="pct" w:w="62%"/>
          </w:tcPr>
          <w:p>
            <w:r>
              <w:t xml:space="preserve">303 mm</w:t>
            </w:r>
          </w:p>
        </w:tc>
      </w:tr>
      <w:tr>
        <w:tc>
          <w:tcPr>
            <w:tcW w:type="pct" w:w="38%"/>
          </w:tcPr>
          <w:p>
            <w:r>
              <w:t xml:space="preserve">Larghezza</w:t>
            </w:r>
          </w:p>
        </w:tc>
        <w:tc>
          <w:tcPr>
            <w:tcW w:type="pct" w:w="62%"/>
          </w:tcPr>
          <w:p>
            <w:r>
              <w:t xml:space="preserve">113 mm</w:t>
            </w:r>
          </w:p>
        </w:tc>
      </w:tr>
      <w:tr>
        <w:tc>
          <w:tcPr>
            <w:tcW w:type="pct" w:w="38%"/>
          </w:tcPr>
          <w:p>
            <w:r>
              <w:t xml:space="preserve">Spessore</w:t>
            </w:r>
          </w:p>
        </w:tc>
        <w:tc>
          <w:tcPr>
            <w:tcW w:type="pct" w:w="62%"/>
          </w:tcPr>
          <w:p>
            <w:r>
              <w:t xml:space="preserve">30 mm</w:t>
            </w:r>
          </w:p>
        </w:tc>
      </w:tr>
      <w:tr>
        <w:tc>
          <w:tcPr>
            <w:tcW w:type="pct" w:w="38%"/>
          </w:tcPr>
          <w:p>
            <w:r>
              <w:t xml:space="preserve">Peso</w:t>
            </w:r>
          </w:p>
        </w:tc>
        <w:tc>
          <w:tcPr>
            <w:tcW w:type="pct" w:w="62%"/>
          </w:tcPr>
          <w:p>
            <w:r>
              <w:t xml:space="preserve">1350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7"</w:t>
            </w:r>
          </w:p>
        </w:tc>
      </w:tr>
      <w:tr>
        <w:tc>
          <w:tcPr>
            <w:tcW w:type="pct" w:w="38%"/>
          </w:tcPr>
          <w:p>
            <w:r>
              <w:t xml:space="preserve">Touch screen</w:t>
            </w:r>
          </w:p>
        </w:tc>
        <w:tc>
          <w:tcPr>
            <w:tcW w:type="pct" w:w="62%"/>
          </w:tcPr>
          <w:p>
            <w:r>
              <w:t xml:space="preserve">NO</w:t>
            </w:r>
          </w:p>
        </w:tc>
      </w:tr>
      <w:tr>
        <w:tc>
          <w:tcPr>
            <w:tcW w:type="pct" w:w="38%"/>
          </w:tcPr>
          <w:p>
            <w:r>
              <w:t xml:space="preserve">Risoluzione</w:t>
            </w:r>
          </w:p>
        </w:tc>
        <w:tc>
          <w:tcPr>
            <w:tcW w:type="pct" w:w="62%"/>
          </w:tcPr>
          <w:p>
            <w:r>
              <w:t xml:space="preserve">280 × 1424</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Bar</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IK08</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Appoggio parete</w:t>
      </w:r>
    </w:p>
    <w:p>
      <w:pPr>
        <w:spacing w:before="160" w:after="80"/>
      </w:pPr>
      <w:r>
        <w:rPr>
          <w:b/>
          <w:bCs/>
        </w:rPr>
        <w:t xml:space="preserve">Passo 1 — Preparazione</w:t>
      </w:r>
    </w:p>
    <w:p>
      <w:r>
        <w:t xml:space="preserve">Posizionare sulla parete la DIMA, con i fori in alto ad un'altezza dal suolo compresa tra 155 e 165 cm,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edfd3b7eb00b9b43db08833f77985729ce89ac39.png"/><Relationship Id="rId10" Type="http://schemas.openxmlformats.org/officeDocument/2006/relationships/image" Target="media/b0b5ccef03514129f49adf4082c0dfa9b11cb7ab.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2026-02-12T22:02:21.463Z</dcterms:created>
  <dcterms:modified xsi:type="dcterms:W3CDTF">2026-02-12T22:02:21.463Z</dcterms:modified>
</cp:coreProperties>
</file>

<file path=docProps/custom.xml><?xml version="1.0" encoding="utf-8"?>
<Properties xmlns="http://schemas.openxmlformats.org/officeDocument/2006/custom-properties" xmlns:vt="http://schemas.openxmlformats.org/officeDocument/2006/docPropsVTypes"/>
</file>