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before="2600" w:after="260"/>
        <w:jc w:val="center"/>
      </w:pPr>
      <w:r>
        <w:drawing>
          <wp:inline distT="0" distB="0" distL="0" distR="0">
            <wp:extent cx="2286000" cy="2286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40"/>
        <w:jc w:val="center"/>
      </w:pPr>
      <w:r>
        <w:rPr>
          <w:b/>
          <w:bCs/>
          <w:color w:val="1F4E79"/>
          <w:sz w:val="48"/>
          <w:szCs w:val="48"/>
        </w:rPr>
        <w:t xml:space="preserve">PLEATS 4.3" — Postazione interna IP con cornetta</w:t>
      </w:r>
    </w:p>
    <w:tbl>
      <w:tblPr>
        <w:tblW w:type="pct" w:w="60%"/>
        <w:jc w:val="center"/>
        <w:tblBorders>
          <w:top w:val="none" w:color="FFFFFF" w:sz="0"/>
          <w:left w:val="none" w:color="FFFFFF" w:sz="0"/>
          <w:bottom w:val="none" w:color="FFFFFF" w:sz="0"/>
          <w:right w:val="none" w:color="FFFFFF" w:sz="0"/>
          <w:insideH w:val="none" w:color="FFFFFF" w:sz="0"/>
          <w:insideV w:val="none" w:color="FFFFFF" w:sz="0"/>
        </w:tblBorders>
      </w:tblPr>
      <w:tblGrid>
        <w:gridCol w:w="100"/>
      </w:tblGrid>
      <w:tr>
        <w:tc>
          <w:tcPr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pStyle w:val="ListParagraph"/>
              <w:numPr>
                <w:ilvl w:val="0"/>
                <w:numId w:val="1"/>
              </w:numPr>
              <w:spacing w:before="80" w:after="40"/>
              <w:jc w:val="left"/>
            </w:pPr>
            <w:r>
              <w:rPr>
                <w:sz w:val="22"/>
                <w:szCs w:val="22"/>
              </w:rPr>
              <w:t xml:space="preserve">ID PRODOTTO: pleats-61sc</w:t>
            </w:r>
          </w:p>
          <w:p>
            <w:pPr>
              <w:pStyle w:val="ListParagraph"/>
              <w:numPr>
                <w:ilvl w:val="0"/>
                <w:numId w:val="1"/>
              </w:numPr>
              <w:spacing w:after="40"/>
              <w:jc w:val="left"/>
            </w:pPr>
            <w:r>
              <w:rPr>
                <w:sz w:val="22"/>
                <w:szCs w:val="22"/>
              </w:rPr>
              <w:t xml:space="preserve">CATEGORIA: indoor-stations</w:t>
            </w:r>
          </w:p>
          <w:p>
            <w:pPr>
              <w:pStyle w:val="ListParagraph"/>
              <w:numPr>
                <w:ilvl w:val="0"/>
                <w:numId w:val="1"/>
              </w:numPr>
              <w:spacing w:after="40"/>
              <w:jc w:val="left"/>
            </w:pPr>
            <w:r>
              <w:rPr>
                <w:sz w:val="22"/>
                <w:szCs w:val="22"/>
              </w:rPr>
              <w:t xml:space="preserve">LINGUA: IT</w:t>
            </w:r>
          </w:p>
          <w:p>
            <w:pPr>
              <w:pStyle w:val="ListParagraph"/>
              <w:numPr>
                <w:ilvl w:val="0"/>
                <w:numId w:val="1"/>
              </w:numPr>
              <w:spacing w:after="240"/>
              <w:jc w:val="left"/>
            </w:pPr>
            <w:r>
              <w:rPr>
                <w:sz w:val="22"/>
                <w:szCs w:val="22"/>
              </w:rPr>
              <w:t xml:space="preserve">VERSIONE: 1.0</w:t>
            </w:r>
          </w:p>
        </w:tc>
      </w:tr>
    </w:tbl>
    <w:p>
      <w:pPr>
        <w:pageBreakBefore/>
      </w:pPr>
    </w:p>
    <w:p>
      <w:pPr>
        <w:spacing w:before="420" w:after="240"/>
        <w:jc w:val="center"/>
      </w:pPr>
      <w:r>
        <w:drawing>
          <wp:inline distT="0" distB="0" distL="0" distR="0">
            <wp:extent cx="4000500" cy="40005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00"/>
        <w:jc w:val="left"/>
      </w:pPr>
      <w:r>
        <w:rPr>
          <w:i/>
          <w:iCs/>
          <w:sz w:val="22"/>
          <w:szCs w:val="22"/>
        </w:rPr>
        <w:t xml:space="preserve">Monitor interno dotato di sistema operativo Android, per la gestione delle chiamate videocitofoniche IP e delle funzioni domotiche/di controllo accessi. Progettato per un utilizzo residenziale e professionale, con interfaccia moderna e integrazione con il sistema IpDoor.</w:t>
      </w:r>
    </w:p>
    <w:p>
      <w:pPr>
        <w:pageBreakBefore/>
      </w:pPr>
    </w:p>
    <w:p>
      <w:pPr>
        <w:pStyle w:val="Heading1"/>
      </w:pPr>
      <w:r>
        <w:t xml:space="preserve">Indice</w:t>
      </w:r>
    </w:p>
    <w:sdt>
      <w:sdtPr>
        <w:alias w:val="Indice"/>
      </w:sdtPr>
      <w:sdtContent>
        <w:p>
          <w:r>
            <w:fldChar w:fldCharType="begin" w:dirty="true"/>
            <w:instrText xml:space="preserve">TOC \h \o "1-3"</w:instrText>
            <w:fldChar w:fldCharType="separate"/>
          </w:r>
        </w:p>
        <w:p>
          <w:r>
            <w:fldChar w:fldCharType="end"/>
          </w:r>
        </w:p>
      </w:sdtContent>
    </w:sdt>
    <w:p>
      <w:pPr>
        <w:pageBreakBefore/>
      </w:pPr>
    </w:p>
    <w:p>
      <w:pPr>
        <w:pStyle w:val="Heading1"/>
      </w:pPr>
      <w:r>
        <w:t xml:space="preserve">1. Panoramica</w:t>
      </w:r>
    </w:p>
    <w:p>
      <w:pPr>
        <w:pStyle w:val="Heading2"/>
      </w:pPr>
      <w:r>
        <w:t xml:space="preserve">1.1 Descrizione</w:t>
      </w:r>
    </w:p>
    <w:p>
      <w:r>
        <w:t xml:space="preserve">Monitor interno dotato di sistema operativo Android, per la gestione delle chiamate videocitofoniche IP e delle funzioni domotiche/di controllo accessi. Progettato per un utilizzo residenziale e professionale, con interfaccia moderna e integrazione con il sistema IpDoor.</w:t>
      </w:r>
    </w:p>
    <w:p>
      <w:pPr>
        <w:pStyle w:val="Heading2"/>
      </w:pPr>
      <w:r>
        <w:t xml:space="preserve">1.3 Caratteristiche principali</w:t>
      </w:r>
    </w:p>
    <w:p>
      <w:pPr>
        <w:pStyle w:val="ListParagraph"/>
        <w:numPr>
          <w:ilvl w:val="0"/>
          <w:numId w:val="1"/>
        </w:numPr>
      </w:pPr>
      <w:r>
        <w:t xml:space="preserve">Interfaccia con 8 pulsanti funzione touch</w:t>
      </w:r>
    </w:p>
    <w:p>
      <w:pPr>
        <w:pStyle w:val="ListParagraph"/>
        <w:numPr>
          <w:ilvl w:val="0"/>
          <w:numId w:val="1"/>
        </w:numPr>
      </w:pPr>
      <w:r>
        <w:t xml:space="preserve">Comunicazione audio/video di alta qualità che usa DSP per filtri audio</w:t>
      </w:r>
    </w:p>
    <w:p>
      <w:pPr>
        <w:pStyle w:val="ListParagraph"/>
        <w:numPr>
          <w:ilvl w:val="0"/>
          <w:numId w:val="1"/>
        </w:numPr>
      </w:pPr>
      <w:r>
        <w:t xml:space="preserve">Pulsanti Funzione Rapidi (Apriporta,Visione Telecamere...)</w:t>
      </w:r>
    </w:p>
    <w:p>
      <w:pPr>
        <w:pStyle w:val="ListParagraph"/>
        <w:numPr>
          <w:ilvl w:val="0"/>
          <w:numId w:val="1"/>
        </w:numPr>
      </w:pPr>
      <w:r>
        <w:t xml:space="preserve">Gestione applicazioni di terze parti Android tramite proprio market</w:t>
      </w:r>
    </w:p>
    <w:p>
      <w:pPr>
        <w:pStyle w:val="ListParagraph"/>
        <w:numPr>
          <w:ilvl w:val="0"/>
          <w:numId w:val="1"/>
        </w:numPr>
      </w:pPr>
      <w:r>
        <w:t xml:space="preserve">Integrazione con funzioni di controllo accessi e scenari</w:t>
      </w:r>
    </w:p>
    <w:p>
      <w:pPr>
        <w:pageBreakBefore/>
      </w:pPr>
    </w:p>
    <w:p>
      <w:pPr>
        <w:pStyle w:val="Heading1"/>
      </w:pPr>
      <w:r>
        <w:t xml:space="preserve">2. Caratteristiche tecniche</w:t>
      </w:r>
    </w:p>
    <w:p>
      <w:r>
        <w:t xml:space="preserve">Le caratteristiche tecniche sono riportate in forma tabellare (fonte: specifiche prodotto).</w:t>
      </w:r>
    </w:p>
    <w:p>
      <w:pPr>
        <w:pStyle w:val="Heading2"/>
      </w:pPr>
      <w:r>
        <w:t xml:space="preserve">Generali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Modello</w:t>
            </w:r>
          </w:p>
        </w:tc>
        <w:tc>
          <w:tcPr>
            <w:tcW w:type="pct" w:w="62%"/>
          </w:tcPr>
          <w:p>
            <w:r>
              <w:t xml:space="preserve">PLEATS</w:t>
            </w:r>
          </w:p>
        </w:tc>
      </w:tr>
      <w:tr>
        <w:tc>
          <w:tcPr>
            <w:tcW w:type="pct" w:w="38%"/>
          </w:tcPr>
          <w:p>
            <w:r>
              <w:t xml:space="preserve">Tipologia</w:t>
            </w:r>
          </w:p>
        </w:tc>
        <w:tc>
          <w:tcPr>
            <w:tcW w:type="pct" w:w="62%"/>
          </w:tcPr>
          <w:p>
            <w:r>
              <w:t xml:space="preserve">Monitor interno Android</w:t>
            </w:r>
          </w:p>
        </w:tc>
      </w:tr>
      <w:tr>
        <w:tc>
          <w:tcPr>
            <w:tcW w:type="pct" w:w="38%"/>
          </w:tcPr>
          <w:p>
            <w:r>
              <w:t xml:space="preserve">Comunicazione</w:t>
            </w:r>
          </w:p>
        </w:tc>
        <w:tc>
          <w:tcPr>
            <w:tcW w:type="pct" w:w="62%"/>
          </w:tcPr>
          <w:p>
            <w:r>
              <w:t xml:space="preserve">Cornetta e Vivavoce</w:t>
            </w:r>
          </w:p>
        </w:tc>
      </w:tr>
      <w:tr>
        <w:tc>
          <w:tcPr>
            <w:tcW w:type="pct" w:w="38%"/>
          </w:tcPr>
          <w:p>
            <w:r>
              <w:t xml:space="preserve">Installazioni disponibili</w:t>
            </w:r>
          </w:p>
        </w:tc>
        <w:tc>
          <w:tcPr>
            <w:tcW w:type="pct" w:w="62%"/>
          </w:tcPr>
          <w:p>
            <w:r>
              <w:t xml:space="preserve">Esterno Parete / Scrivania</w:t>
            </w:r>
          </w:p>
        </w:tc>
      </w:tr>
      <w:tr>
        <w:tc>
          <w:tcPr>
            <w:tcW w:type="pct" w:w="38%"/>
          </w:tcPr>
          <w:p>
            <w:r>
              <w:t xml:space="preserve">Colori disponibili</w:t>
            </w:r>
          </w:p>
        </w:tc>
        <w:tc>
          <w:tcPr>
            <w:tcW w:type="pct" w:w="62%"/>
          </w:tcPr>
          <w:p>
            <w:r>
              <w:t xml:space="preserve">Bianco</w:t>
            </w:r>
          </w:p>
        </w:tc>
      </w:tr>
      <w:tr>
        <w:tc>
          <w:tcPr>
            <w:tcW w:type="pct" w:w="38%"/>
          </w:tcPr>
          <w:p>
            <w:r>
              <w:t xml:space="preserve">Materiale</w:t>
            </w:r>
          </w:p>
        </w:tc>
        <w:tc>
          <w:tcPr>
            <w:tcW w:type="pct" w:w="62%"/>
          </w:tcPr>
          <w:p>
            <w:r>
              <w:t xml:space="preserve">Plastica</w:t>
            </w:r>
          </w:p>
        </w:tc>
      </w:tr>
      <w:tr>
        <w:tc>
          <w:tcPr>
            <w:tcW w:type="pct" w:w="38%"/>
          </w:tcPr>
          <w:p>
            <w:r>
              <w:t xml:space="preserve">Peso</w:t>
            </w:r>
          </w:p>
        </w:tc>
        <w:tc>
          <w:tcPr>
            <w:tcW w:type="pct" w:w="62%"/>
          </w:tcPr>
          <w:p>
            <w:r>
              <w:t xml:space="preserve">300 gr</w:t>
            </w:r>
          </w:p>
        </w:tc>
      </w:tr>
      <w:tr>
        <w:tc>
          <w:tcPr>
            <w:tcW w:type="pct" w:w="38%"/>
          </w:tcPr>
          <w:p>
            <w:r>
              <w:t xml:space="preserve">Altezza</w:t>
            </w:r>
          </w:p>
        </w:tc>
        <w:tc>
          <w:tcPr>
            <w:tcW w:type="pct" w:w="62%"/>
          </w:tcPr>
          <w:p>
            <w:r>
              <w:t xml:space="preserve">152 mm</w:t>
            </w:r>
          </w:p>
        </w:tc>
      </w:tr>
      <w:tr>
        <w:tc>
          <w:tcPr>
            <w:tcW w:type="pct" w:w="38%"/>
          </w:tcPr>
          <w:p>
            <w:r>
              <w:t xml:space="preserve">Larghezza</w:t>
            </w:r>
          </w:p>
        </w:tc>
        <w:tc>
          <w:tcPr>
            <w:tcW w:type="pct" w:w="62%"/>
          </w:tcPr>
          <w:p>
            <w:r>
              <w:t xml:space="preserve">210 mm</w:t>
            </w:r>
          </w:p>
        </w:tc>
      </w:tr>
      <w:tr>
        <w:tc>
          <w:tcPr>
            <w:tcW w:type="pct" w:w="38%"/>
          </w:tcPr>
          <w:p>
            <w:r>
              <w:t xml:space="preserve">Spessore</w:t>
            </w:r>
          </w:p>
        </w:tc>
        <w:tc>
          <w:tcPr>
            <w:tcW w:type="pct" w:w="62%"/>
          </w:tcPr>
          <w:p>
            <w:r>
              <w:t xml:space="preserve">22 mm</w:t>
            </w:r>
          </w:p>
        </w:tc>
      </w:tr>
    </w:tbl>
    <w:p>
      <w:pPr>
        <w:pStyle w:val="Heading2"/>
      </w:pPr>
      <w:r>
        <w:t xml:space="preserve">Alimentazione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LAN</w:t>
            </w:r>
          </w:p>
        </w:tc>
        <w:tc>
          <w:tcPr>
            <w:tcW w:type="pct" w:w="62%"/>
          </w:tcPr>
          <w:p>
            <w:r>
              <w:t xml:space="preserve">PoE 802.3af</w:t>
            </w:r>
          </w:p>
        </w:tc>
      </w:tr>
      <w:tr>
        <w:tc>
          <w:tcPr>
            <w:tcW w:type="pct" w:w="38%"/>
          </w:tcPr>
          <w:p>
            <w:r>
              <w:t xml:space="preserve">Alimentazione locale</w:t>
            </w:r>
          </w:p>
        </w:tc>
        <w:tc>
          <w:tcPr>
            <w:tcW w:type="pct" w:w="62%"/>
          </w:tcPr>
          <w:p>
            <w:r>
              <w:t xml:space="preserve">12/24 V DC @ 1 A</w:t>
            </w:r>
          </w:p>
        </w:tc>
      </w:tr>
      <w:tr>
        <w:tc>
          <w:tcPr>
            <w:tcW w:type="pct" w:w="38%"/>
          </w:tcPr>
          <w:p>
            <w:r>
              <w:t xml:space="preserve">Consumo MAX</w:t>
            </w:r>
          </w:p>
        </w:tc>
        <w:tc>
          <w:tcPr>
            <w:tcW w:type="pct" w:w="62%"/>
          </w:tcPr>
          <w:p>
            <w:r>
              <w:t xml:space="preserve">5 W</w:t>
            </w:r>
          </w:p>
        </w:tc>
      </w:tr>
      <w:tr>
        <w:tc>
          <w:tcPr>
            <w:tcW w:type="pct" w:w="38%"/>
          </w:tcPr>
          <w:p>
            <w:r>
              <w:t xml:space="preserve">Consumo Standby</w:t>
            </w:r>
          </w:p>
        </w:tc>
        <w:tc>
          <w:tcPr>
            <w:tcW w:type="pct" w:w="62%"/>
          </w:tcPr>
          <w:p>
            <w:r>
              <w:t xml:space="preserve">2.5 W</w:t>
            </w:r>
          </w:p>
        </w:tc>
      </w:tr>
    </w:tbl>
    <w:p>
      <w:pPr>
        <w:pStyle w:val="Heading2"/>
      </w:pPr>
      <w:r>
        <w:t xml:space="preserve">Sistema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Sistema Operativo</w:t>
            </w:r>
          </w:p>
        </w:tc>
        <w:tc>
          <w:tcPr>
            <w:tcW w:type="pct" w:w="62%"/>
          </w:tcPr>
          <w:p>
            <w:r>
              <w:t xml:space="preserve">Android 11</w:t>
            </w:r>
          </w:p>
        </w:tc>
      </w:tr>
      <w:tr>
        <w:tc>
          <w:tcPr>
            <w:tcW w:type="pct" w:w="38%"/>
          </w:tcPr>
          <w:p>
            <w:r>
              <w:t xml:space="preserve">CPU</w:t>
            </w:r>
          </w:p>
        </w:tc>
        <w:tc>
          <w:tcPr>
            <w:tcW w:type="pct" w:w="62%"/>
          </w:tcPr>
          <w:p>
            <w:r>
              <w:t xml:space="preserve">ARM Cortex-A55</w:t>
            </w:r>
          </w:p>
        </w:tc>
      </w:tr>
      <w:tr>
        <w:tc>
          <w:tcPr>
            <w:tcW w:type="pct" w:w="38%"/>
          </w:tcPr>
          <w:p>
            <w:r>
              <w:t xml:space="preserve">RAM</w:t>
            </w:r>
          </w:p>
        </w:tc>
        <w:tc>
          <w:tcPr>
            <w:tcW w:type="pct" w:w="62%"/>
          </w:tcPr>
          <w:p>
            <w:r>
              <w:t xml:space="preserve">2GB</w:t>
            </w:r>
          </w:p>
        </w:tc>
      </w:tr>
      <w:tr>
        <w:tc>
          <w:tcPr>
            <w:tcW w:type="pct" w:w="38%"/>
          </w:tcPr>
          <w:p>
            <w:r>
              <w:t xml:space="preserve">Memoria Interna</w:t>
            </w:r>
          </w:p>
        </w:tc>
        <w:tc>
          <w:tcPr>
            <w:tcW w:type="pct" w:w="62%"/>
          </w:tcPr>
          <w:p>
            <w:r>
              <w:t xml:space="preserve">8GB (espandibile)</w:t>
            </w:r>
          </w:p>
        </w:tc>
      </w:tr>
      <w:tr>
        <w:tc>
          <w:tcPr>
            <w:tcW w:type="pct" w:w="38%"/>
          </w:tcPr>
          <w:p>
            <w:r>
              <w:t xml:space="preserve">Porte</w:t>
            </w:r>
          </w:p>
        </w:tc>
        <w:tc>
          <w:tcPr>
            <w:tcW w:type="pct" w:w="62%"/>
          </w:tcPr>
          <w:p>
            <w:r>
              <w:t xml:space="preserve">USB Type-C</w:t>
            </w:r>
          </w:p>
        </w:tc>
      </w:tr>
    </w:tbl>
    <w:p>
      <w:pPr>
        <w:pStyle w:val="Heading2"/>
      </w:pPr>
      <w:r>
        <w:t xml:space="preserve">Display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Dimensioni</w:t>
            </w:r>
          </w:p>
        </w:tc>
        <w:tc>
          <w:tcPr>
            <w:tcW w:type="pct" w:w="62%"/>
          </w:tcPr>
          <w:p>
            <w:r>
              <w:t xml:space="preserve">4.3"</w:t>
            </w:r>
          </w:p>
        </w:tc>
      </w:tr>
      <w:tr>
        <w:tc>
          <w:tcPr>
            <w:tcW w:type="pct" w:w="38%"/>
          </w:tcPr>
          <w:p>
            <w:r>
              <w:t xml:space="preserve">Risoluzione</w:t>
            </w:r>
          </w:p>
        </w:tc>
        <w:tc>
          <w:tcPr>
            <w:tcW w:type="pct" w:w="62%"/>
          </w:tcPr>
          <w:p>
            <w:r>
              <w:t xml:space="preserve">480 x 272 px 16:9</w:t>
            </w:r>
          </w:p>
        </w:tc>
      </w:tr>
      <w:tr>
        <w:tc>
          <w:tcPr>
            <w:tcW w:type="pct" w:w="38%"/>
          </w:tcPr>
          <w:p>
            <w:r>
              <w:t xml:space="preserve">Tipo</w:t>
            </w:r>
          </w:p>
        </w:tc>
        <w:tc>
          <w:tcPr>
            <w:tcW w:type="pct" w:w="62%"/>
          </w:tcPr>
          <w:p>
            <w:r>
              <w:t xml:space="preserve">IPS</w:t>
            </w:r>
          </w:p>
        </w:tc>
      </w:tr>
    </w:tbl>
    <w:p>
      <w:pPr>
        <w:pStyle w:val="Heading2"/>
      </w:pPr>
      <w:r>
        <w:t xml:space="preserve">Audio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Altoparlante</w:t>
            </w:r>
          </w:p>
        </w:tc>
        <w:tc>
          <w:tcPr>
            <w:tcW w:type="pct" w:w="62%"/>
          </w:tcPr>
          <w:p>
            <w:r>
              <w:t xml:space="preserve">1x2W</w:t>
            </w:r>
          </w:p>
        </w:tc>
      </w:tr>
      <w:tr>
        <w:tc>
          <w:tcPr>
            <w:tcW w:type="pct" w:w="38%"/>
          </w:tcPr>
          <w:p>
            <w:r>
              <w:t xml:space="preserve">Microfoni</w:t>
            </w:r>
          </w:p>
        </w:tc>
        <w:tc>
          <w:tcPr>
            <w:tcW w:type="pct" w:w="62%"/>
          </w:tcPr>
          <w:p>
            <w:r>
              <w:t xml:space="preserve">N.2 digitali</w:t>
            </w:r>
          </w:p>
        </w:tc>
      </w:tr>
      <w:tr>
        <w:tc>
          <w:tcPr>
            <w:tcW w:type="pct" w:w="38%"/>
          </w:tcPr>
          <w:p>
            <w:r>
              <w:t xml:space="preserve">Funzionalità Avanzate</w:t>
            </w:r>
          </w:p>
        </w:tc>
        <w:tc>
          <w:tcPr>
            <w:tcW w:type="pct" w:w="62%"/>
          </w:tcPr>
          <w:p>
            <w:r>
              <w:t xml:space="preserve">Full Duplex / Cancellazione Eco / Cancellazione rumore</w:t>
            </w:r>
          </w:p>
        </w:tc>
      </w:tr>
    </w:tbl>
    <w:p>
      <w:pPr>
        <w:pStyle w:val="Heading2"/>
      </w:pPr>
      <w:r>
        <w:t xml:space="preserve">Interfacce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Ethernet</w:t>
            </w:r>
          </w:p>
        </w:tc>
        <w:tc>
          <w:tcPr>
            <w:tcW w:type="pct" w:w="62%"/>
          </w:tcPr>
          <w:p>
            <w:r>
              <w:t xml:space="preserve">RJ45 10/100 Mbps</w:t>
            </w:r>
          </w:p>
        </w:tc>
      </w:tr>
      <w:tr>
        <w:tc>
          <w:tcPr>
            <w:tcW w:type="pct" w:w="38%"/>
          </w:tcPr>
          <w:p>
            <w:r>
              <w:t xml:space="preserve">Wi-Fi</w:t>
            </w:r>
          </w:p>
        </w:tc>
        <w:tc>
          <w:tcPr>
            <w:tcW w:type="pct" w:w="62%"/>
          </w:tcPr>
          <w:p>
            <w:r>
              <w:t xml:space="preserve">2.4/5GHz IEEE 802.11 b,g,n,ac</w:t>
            </w:r>
          </w:p>
        </w:tc>
      </w:tr>
      <w:tr>
        <w:tc>
          <w:tcPr>
            <w:tcW w:type="pct" w:w="38%"/>
          </w:tcPr>
          <w:p>
            <w:r>
              <w:t xml:space="preserve">Bluetooth</w:t>
            </w:r>
          </w:p>
        </w:tc>
        <w:tc>
          <w:tcPr>
            <w:tcW w:type="pct" w:w="62%"/>
          </w:tcPr>
          <w:p>
            <w:r>
              <w:t xml:space="preserve">4.2 / BLE / HSF / HFP</w:t>
            </w:r>
          </w:p>
        </w:tc>
      </w:tr>
      <w:tr>
        <w:tc>
          <w:tcPr>
            <w:tcW w:type="pct" w:w="38%"/>
          </w:tcPr>
          <w:p>
            <w:r>
              <w:t xml:space="preserve">RS485</w:t>
            </w:r>
          </w:p>
        </w:tc>
        <w:tc>
          <w:tcPr>
            <w:tcW w:type="pct" w:w="62%"/>
          </w:tcPr>
          <w:p>
            <w:r>
              <w:t xml:space="preserve">RS485 Master/Slave; ASCII / Modbus RTU</w:t>
            </w:r>
          </w:p>
        </w:tc>
      </w:tr>
    </w:tbl>
    <w:p>
      <w:pPr>
        <w:pStyle w:val="Heading2"/>
      </w:pPr>
      <w:r>
        <w:t xml:space="preserve">Ingressi / Uscite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Relè ausiliario</w:t>
            </w:r>
          </w:p>
        </w:tc>
        <w:tc>
          <w:tcPr>
            <w:tcW w:type="pct" w:w="62%"/>
          </w:tcPr>
          <w:p>
            <w:r>
              <w:t xml:space="preserve">Uscita a contatto pulito N.A. - 24Vdc@2A max / (Monostabile programmabile 1-30 sec)</w:t>
            </w:r>
          </w:p>
        </w:tc>
      </w:tr>
      <w:tr>
        <w:tc>
          <w:tcPr>
            <w:tcW w:type="pct" w:w="38%"/>
          </w:tcPr>
          <w:p>
            <w:r>
              <w:t xml:space="preserve">Ingressi</w:t>
            </w:r>
          </w:p>
        </w:tc>
        <w:tc>
          <w:tcPr>
            <w:tcW w:type="pct" w:w="62%"/>
          </w:tcPr>
          <w:p>
            <w:r>
              <w:t xml:space="preserve">2 Ingressi Pull-Up Optoisolati</w:t>
            </w:r>
          </w:p>
        </w:tc>
      </w:tr>
      <w:tr>
        <w:tc>
          <w:tcPr>
            <w:tcW w:type="pct" w:w="38%"/>
          </w:tcPr>
          <w:p>
            <w:r>
              <w:t xml:space="preserve">Power out</w:t>
            </w:r>
          </w:p>
        </w:tc>
        <w:tc>
          <w:tcPr>
            <w:tcW w:type="pct" w:w="62%"/>
          </w:tcPr>
          <w:p>
            <w:r>
              <w:t xml:space="preserve">Uscita continua 5Vdc @ 300mA</w:t>
            </w:r>
          </w:p>
        </w:tc>
      </w:tr>
    </w:tbl>
    <w:p>
      <w:pPr>
        <w:pStyle w:val="Heading2"/>
      </w:pPr>
      <w:r>
        <w:t xml:space="preserve">Pulsanti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Funzione</w:t>
            </w:r>
          </w:p>
        </w:tc>
        <w:tc>
          <w:tcPr>
            <w:tcW w:type="pct" w:w="62%"/>
          </w:tcPr>
          <w:p>
            <w:r>
              <w:t xml:space="preserve">8 di cui 6 programmabili</w:t>
            </w:r>
          </w:p>
        </w:tc>
      </w:tr>
      <w:tr>
        <w:tc>
          <w:tcPr>
            <w:tcW w:type="pct" w:w="38%"/>
          </w:tcPr>
          <w:p>
            <w:r>
              <w:t xml:space="preserve">Comando</w:t>
            </w:r>
          </w:p>
        </w:tc>
        <w:tc>
          <w:tcPr>
            <w:tcW w:type="pct" w:w="62%"/>
          </w:tcPr>
          <w:p>
            <w:r>
              <w:t xml:space="preserve">Volume / Power</w:t>
            </w:r>
          </w:p>
        </w:tc>
      </w:tr>
    </w:tbl>
    <w:p>
      <w:pPr>
        <w:pStyle w:val="Heading2"/>
      </w:pPr>
      <w:r>
        <w:t xml:space="preserve">Moduli opzionali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Parametro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Valore</w:t>
            </w:r>
          </w:p>
        </w:tc>
      </w:tr>
      <w:tr>
        <w:tc>
          <w:tcPr>
            <w:tcW w:type="pct" w:w="38%"/>
          </w:tcPr>
          <w:p>
            <w:r>
              <w:t xml:space="preserve">KIT Tavolo</w:t>
            </w:r>
          </w:p>
        </w:tc>
        <w:tc>
          <w:tcPr>
            <w:tcW w:type="pct" w:w="62%"/>
          </w:tcPr>
          <w:p>
            <w:r>
              <w:t xml:space="preserve">Supporto da tavolo (accessorio)</w:t>
            </w:r>
          </w:p>
        </w:tc>
      </w:tr>
    </w:tbl>
    <w:p>
      <w:pPr>
        <w:pageBreakBefore/>
      </w:pPr>
    </w:p>
    <w:p>
      <w:pPr>
        <w:pStyle w:val="Heading1"/>
      </w:pPr>
      <w:r>
        <w:t xml:space="preserve">3. Installazione</w:t>
      </w:r>
    </w:p>
    <w:p>
      <w:pPr>
        <w:pStyle w:val="Heading2"/>
      </w:pPr>
      <w:r>
        <w:t xml:space="preserve">3.1 Introduzione</w:t>
      </w:r>
    </w:p>
    <w:p>
      <w:pPr>
        <w:spacing w:before="140" w:after="220"/>
        <w:jc w:val="center"/>
      </w:pPr>
      <w:r>
        <w:drawing>
          <wp:inline distT="0" distB="0" distL="0" distR="0">
            <wp:extent cx="250507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2"/>
        </w:numPr>
      </w:pPr>
      <w:r>
        <w:t xml:space="preserve">Luce led frontale</w:t>
      </w:r>
    </w:p>
    <w:p>
      <w:pPr>
        <w:pStyle w:val="ListParagraph"/>
        <w:numPr>
          <w:ilvl w:val="0"/>
          <w:numId w:val="2"/>
        </w:numPr>
      </w:pPr>
      <w:r>
        <w:t xml:space="preserve">Radar di prossimità</w:t>
      </w:r>
    </w:p>
    <w:p>
      <w:pPr>
        <w:pStyle w:val="ListParagraph"/>
        <w:numPr>
          <w:ilvl w:val="0"/>
          <w:numId w:val="2"/>
        </w:numPr>
      </w:pPr>
      <w:r>
        <w:t xml:space="preserve">Telecamera panoramica</w:t>
      </w:r>
    </w:p>
    <w:p>
      <w:pPr>
        <w:pStyle w:val="ListParagraph"/>
        <w:numPr>
          <w:ilvl w:val="0"/>
          <w:numId w:val="2"/>
        </w:numPr>
      </w:pPr>
      <w:r>
        <w:t xml:space="preserve">Schermo touch</w:t>
      </w:r>
    </w:p>
    <w:p>
      <w:pPr>
        <w:pStyle w:val="ListParagraph"/>
        <w:numPr>
          <w:ilvl w:val="0"/>
          <w:numId w:val="2"/>
        </w:numPr>
      </w:pPr>
      <w:r>
        <w:t xml:space="preserve">Tasti metallici</w:t>
      </w:r>
    </w:p>
    <w:p>
      <w:pPr>
        <w:pStyle w:val="ListParagraph"/>
        <w:numPr>
          <w:ilvl w:val="0"/>
          <w:numId w:val="2"/>
        </w:numPr>
      </w:pPr>
      <w:r>
        <w:t xml:space="preserve">Sensore di luminosità</w:t>
      </w:r>
    </w:p>
    <w:p>
      <w:pPr>
        <w:pStyle w:val="ListParagraph"/>
        <w:numPr>
          <w:ilvl w:val="0"/>
          <w:numId w:val="2"/>
        </w:numPr>
      </w:pPr>
      <w:r>
        <w:t xml:space="preserve">Microfoni</w:t>
      </w:r>
    </w:p>
    <w:p>
      <w:pPr>
        <w:pStyle w:val="ListParagraph"/>
        <w:numPr>
          <w:ilvl w:val="0"/>
          <w:numId w:val="2"/>
        </w:numPr>
      </w:pPr>
      <w:r>
        <w:t xml:space="preserve">Led infrarosso</w:t>
      </w:r>
    </w:p>
    <w:p>
      <w:pPr>
        <w:pStyle w:val="ListParagraph"/>
        <w:numPr>
          <w:ilvl w:val="0"/>
          <w:numId w:val="2"/>
        </w:numPr>
      </w:pPr>
      <w:r>
        <w:t xml:space="preserve">Telecamere per riconoscimento facciale</w:t>
      </w:r>
    </w:p>
    <w:p>
      <w:pPr>
        <w:pStyle w:val="ListParagraph"/>
        <w:numPr>
          <w:ilvl w:val="0"/>
          <w:numId w:val="2"/>
        </w:numPr>
      </w:pPr>
      <w:r>
        <w:t xml:space="preserve">Lettore NFC</w:t>
      </w:r>
    </w:p>
    <w:p>
      <w:pPr>
        <w:pStyle w:val="ListParagraph"/>
        <w:numPr>
          <w:ilvl w:val="0"/>
          <w:numId w:val="2"/>
        </w:numPr>
      </w:pPr>
      <w:r>
        <w:t xml:space="preserve">Luci del inferiori</w:t>
      </w:r>
    </w:p>
    <w:p>
      <w:pPr>
        <w:pStyle w:val="ListParagraph"/>
        <w:numPr>
          <w:ilvl w:val="0"/>
          <w:numId w:val="2"/>
        </w:numPr>
      </w:pPr>
      <w:r>
        <w:t xml:space="preserve">Logo illuminato a colori RGB</w:t>
      </w:r>
    </w:p>
    <w:p>
      <w:pPr>
        <w:pStyle w:val="Heading2"/>
      </w:pPr>
      <w:r>
        <w:t xml:space="preserve">3.2 Installazione meccanica</w:t>
      </w:r>
    </w:p>
    <w:p>
      <w:pPr>
        <w:pStyle w:val="Heading3"/>
      </w:pPr>
      <w:r>
        <w:t xml:space="preserve">Appoggio parete</w:t>
      </w:r>
    </w:p>
    <w:p>
      <w:pPr>
        <w:spacing w:before="160" w:after="80"/>
      </w:pPr>
      <w:r>
        <w:rPr>
          <w:b/>
          <w:bCs/>
        </w:rPr>
        <w:t xml:space="preserve">Passo 1 — Preparazione</w:t>
      </w:r>
    </w:p>
    <w:p>
      <w:r>
        <w:t xml:space="preserve">Posizionare sulla parete la DIMA, con i fori in alto ad un'altezza dal suolo compresa tra 155 e 165 cm, assicurandosi che il lato "TOP" sia rivolto verso l’alto. Tracciare con una matita le posizioni dei quattro fori evidenziati in rosso in figura.</w:t>
      </w:r>
    </w:p>
    <w:p>
      <w:pPr>
        <w:spacing w:before="140" w:after="220"/>
        <w:jc w:val="center"/>
      </w:pPr>
      <w:r>
        <w:drawing>
          <wp:inline distT="0" distB="0" distL="0" distR="0">
            <wp:extent cx="160972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2 — Verifica</w:t>
      </w:r>
    </w:p>
    <w:p>
      <w:r>
        <w:t xml:space="preserve">Prima di procedere, verificare attentamente l’assenza di cavi o tubazioni dietro alla parete, quindi forare la parete in corrispondenza dei punti precedentemente disegnati.</w:t>
      </w:r>
    </w:p>
    <w:p>
      <w:pPr>
        <w:spacing w:before="140" w:after="220"/>
        <w:jc w:val="center"/>
      </w:pPr>
      <w:r>
        <w:drawing>
          <wp:inline distT="0" distB="0" distL="0" distR="0">
            <wp:extent cx="433387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2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3 — Foratura</w:t>
      </w:r>
    </w:p>
    <w:p>
      <w:r>
        <w:t xml:space="preserve">Inserire i tasselli assicurandosi che siano perfettamente a filo parete. Applicare quindi la piastra di fissaggio e bloccarla usando le quattro viti fornite a corredo, come indicato in figura.</w:t>
      </w:r>
    </w:p>
    <w:p>
      <w:pPr>
        <w:spacing w:before="140" w:after="220"/>
        <w:jc w:val="center"/>
      </w:pPr>
      <w:r>
        <w:drawing>
          <wp:inline distT="0" distB="0" distL="0" distR="0">
            <wp:extent cx="4953000" cy="27813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3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4 — Supporto installazione</w:t>
      </w:r>
    </w:p>
    <w:p>
      <w:r>
        <w:t xml:space="preserve">Per facilitare i collegamenti alla morsettiera è disponibile un supporto che consente di appoggiare la targa durante le operazioni di cablaggio. Fissare il supporto alla piastra e stringere la vite frontale, come indicato in figura.</w:t>
      </w:r>
    </w:p>
    <w:p>
      <w:pPr>
        <w:spacing w:before="140" w:after="220"/>
        <w:jc w:val="center"/>
      </w:pPr>
      <w:r>
        <w:drawing>
          <wp:inline distT="0" distB="0" distL="0" distR="0">
            <wp:extent cx="353377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4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5 — Fissaggio piastra</w:t>
      </w:r>
    </w:p>
    <w:p>
      <w:r>
        <w:t xml:space="preserve">Procedere quindi agganciando il supporto alla piastra e collegare i cavi alla morsettiera. Una volta completati i collegamenti, sganciare il supporto dalla piastra e poi dal dispositivo.</w:t>
      </w:r>
    </w:p>
    <w:p>
      <w:pPr>
        <w:spacing w:before="140" w:after="220"/>
        <w:jc w:val="center"/>
      </w:pPr>
      <w:r>
        <w:drawing>
          <wp:inline distT="0" distB="0" distL="0" distR="0">
            <wp:extent cx="3162300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5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6 — Fissaggio dispositivo</w:t>
      </w:r>
    </w:p>
    <w:p>
      <w:r>
        <w:t xml:space="preserve">Agganciare la targa alla piastra ed avvitare le due viti frontali come indicato in figura.</w:t>
      </w:r>
    </w:p>
    <w:p>
      <w:pPr>
        <w:spacing w:before="140" w:after="220"/>
        <w:jc w:val="center"/>
      </w:pPr>
      <w:r>
        <w:drawing>
          <wp:inline distT="0" distB="0" distL="0" distR="0">
            <wp:extent cx="336232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6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7 — Chiusura</w:t>
      </w:r>
    </w:p>
    <w:p>
      <w:r>
        <w:t xml:space="preserve">Per completare l’installazione, inserire il coperchio dal basso verso l’alto, fino a sentire lo scatto.</w:t>
      </w:r>
    </w:p>
    <w:p>
      <w:pPr>
        <w:spacing w:before="140" w:after="220"/>
        <w:jc w:val="center"/>
      </w:pPr>
      <w:r>
        <w:drawing>
          <wp:inline distT="0" distB="0" distL="0" distR="0">
            <wp:extent cx="1695450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8 — Smontaggio</w:t>
      </w:r>
    </w:p>
    <w:p>
      <w:r>
        <w:t xml:space="preserve">Per disinstallare la targa, inserire la chiave di sicurezza nell’apposita sede sul fondo del coperchio, spingere il coperchio verso il basso e svitare le viti frontali.</w:t>
      </w:r>
    </w:p>
    <w:p>
      <w:pPr>
        <w:spacing w:before="140" w:after="220"/>
        <w:jc w:val="center"/>
      </w:pPr>
      <w:r>
        <w:drawing>
          <wp:inline distT="0" distB="0" distL="0" distR="0">
            <wp:extent cx="2438400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2"/>
      </w:pPr>
      <w:r>
        <w:t xml:space="preserve">3.3 Cablaggio</w:t>
      </w:r>
    </w:p>
    <w:p>
      <w:pPr>
        <w:spacing w:before="160" w:after="80"/>
      </w:pPr>
      <w:r>
        <w:rPr>
          <w:b/>
          <w:bCs/>
        </w:rPr>
        <w:t xml:space="preserve">Passo 1 — Preparazione</w:t>
      </w:r>
    </w:p>
    <w:p>
      <w:r>
        <w:t xml:space="preserve">ACCESSO AL CABLAGGIO: dopo aver svitato il coperchio rimuovere la vite frontale in basso e ruotare il supporto, in modo da accedere alla zona morsettiera. Individuare l’ingresso PoE e gli altri morsetti di potenza (a seconda delle esigenze come descritto nei prossimi passi).</w:t>
      </w:r>
    </w:p>
    <w:p>
      <w:pPr>
        <w:spacing w:before="140" w:after="220"/>
        <w:jc w:val="center"/>
      </w:pPr>
      <w:r>
        <w:drawing>
          <wp:inline distT="0" distB="0" distL="0" distR="0">
            <wp:extent cx="3467100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2 — Alimentazione Opzionale</w:t>
      </w:r>
    </w:p>
    <w:p>
      <w:r>
        <w:t xml:space="preserve">ALIMENTAZIONE OPZIONALE: Se la rete Ethernet non è PoE, è necessario utilizzare un alimentatore 24VDC/1A. Collegare l'alimentatore ai morsetti indicati.</w:t>
      </w:r>
    </w:p>
    <w:p>
      <w:pPr>
        <w:spacing w:before="140" w:after="220"/>
        <w:jc w:val="center"/>
      </w:pPr>
      <w:r>
        <w:drawing>
          <wp:inline distT="0" distB="0" distL="0" distR="0">
            <wp:extent cx="475297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0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3 — Collegamento diretto Serratura</w:t>
      </w:r>
    </w:p>
    <w:p>
      <w:r>
        <w:t xml:space="preserve">USCITA LOCK: è possibile collegare direttamente una elettroserratura ai morsetti LOCK+ / LOCK- (max 1A, cavo ≤30m, 1.5mm²). Per carichi differenti è necessario usare un relè intermedio, come indicato negli schemi applicativi.</w:t>
      </w:r>
    </w:p>
    <w:p>
      <w:pPr>
        <w:spacing w:before="140" w:after="220"/>
        <w:jc w:val="center"/>
      </w:pPr>
      <w:r>
        <w:drawing>
          <wp:inline distT="0" distB="0" distL="0" distR="0">
            <wp:extent cx="477202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4 — Collegamento Serratura Alimentata</w:t>
      </w:r>
    </w:p>
    <w:p>
      <w:r>
        <w:t xml:space="preserve">USCITA AUX: in questo caso l'uscita è un interruttore a contatto pulito che può pilotare un carico esterno. Se il carico è in 220VAC è necessario usare un relè di potenza.</w:t>
      </w:r>
    </w:p>
    <w:p>
      <w:pPr>
        <w:spacing w:before="140" w:after="220"/>
        <w:jc w:val="center"/>
      </w:pPr>
      <w:r>
        <w:drawing>
          <wp:inline distT="0" distB="0" distL="0" distR="0">
            <wp:extent cx="3505200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2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80"/>
      </w:pPr>
      <w:r>
        <w:rPr>
          <w:b/>
          <w:bCs/>
        </w:rPr>
        <w:t xml:space="preserve">Passo 5 — Collegamento Ingressi pulsante</w:t>
      </w:r>
    </w:p>
    <w:p>
      <w:r>
        <w:t xml:space="preserve">INGRESSI: possono essere collegati fino a due ingressi (ad esempio pulsanti apriporta esterni). Gli ingressi sono programmabili. Esempio di pulsante apriporta esterno su INPUT 1 / GND.</w:t>
      </w:r>
    </w:p>
    <w:p>
      <w:pPr>
        <w:spacing w:before="140" w:after="220"/>
        <w:jc w:val="center"/>
      </w:pPr>
      <w:r>
        <w:drawing>
          <wp:inline distT="0" distB="0" distL="0" distR="0">
            <wp:extent cx="4486275" cy="3429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3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/>
      </w:pPr>
    </w:p>
    <w:p>
      <w:pPr>
        <w:pStyle w:val="Heading1"/>
      </w:pPr>
      <w:r>
        <w:t xml:space="preserve">4. Note operative</w:t>
      </w:r>
    </w:p>
    <w:p>
      <w:pPr>
        <w:pStyle w:val="Heading2"/>
      </w:pPr>
      <w:r>
        <w:t xml:space="preserve">4.1 Manutenzione</w:t>
      </w:r>
    </w:p>
    <w:p>
      <w:pPr>
        <w:pStyle w:val="ListParagraph"/>
        <w:numPr>
          <w:ilvl w:val="0"/>
          <w:numId w:val="1"/>
        </w:numPr>
      </w:pPr>
      <w:r>
        <w:t xml:space="preserve">Pulire con un panno morbido.</w:t>
      </w:r>
    </w:p>
    <w:p>
      <w:pPr>
        <w:pStyle w:val="ListParagraph"/>
        <w:numPr>
          <w:ilvl w:val="0"/>
          <w:numId w:val="1"/>
        </w:numPr>
      </w:pPr>
      <w:r>
        <w:t xml:space="preserve">Non utilizzare solventi o detergenti aggressivi.</w:t>
      </w:r>
    </w:p>
    <w:p>
      <w:pPr>
        <w:pageBreakBefore/>
      </w:pPr>
    </w:p>
    <w:p>
      <w:pPr>
        <w:pStyle w:val="Heading1"/>
      </w:pPr>
      <w:r>
        <w:t xml:space="preserve">5. Revisioni</w:t>
      </w:r>
    </w:p>
    <w:tbl>
      <w:tblPr>
        <w:tblW w:type="pct" w:w="100%"/>
        <w:tblBorders>
          <w:top w:val="single" w:color="D9D9D9" w:sz="6"/>
          <w:left w:val="single" w:color="D9D9D9" w:sz="6"/>
          <w:bottom w:val="single" w:color="D9D9D9" w:sz="6"/>
          <w:right w:val="single" w:color="D9D9D9" w:sz="6"/>
          <w:insideH w:val="single" w:color="D9D9D9" w:sz="6"/>
          <w:insideV w:val="single" w:color="D9D9D9" w:sz="6"/>
        </w:tblBorders>
      </w:tblPr>
      <w:tblGrid>
        <w:gridCol w:w="100"/>
        <w:gridCol w:w="100"/>
      </w:tblGrid>
      <w:tr>
        <w:tc>
          <w:tcPr>
            <w:tcW w:type="pct" w:w="38%"/>
          </w:tcPr>
          <w:p>
            <w:r>
              <w:rPr>
                <w:b/>
                <w:bCs/>
              </w:rPr>
              <w:t xml:space="preserve">Version</w:t>
            </w:r>
          </w:p>
        </w:tc>
        <w:tc>
          <w:tcPr>
            <w:tcW w:type="pct" w:w="62%"/>
          </w:tcPr>
          <w:p>
            <w:r>
              <w:rPr>
                <w:b/>
                <w:bCs/>
              </w:rPr>
              <w:t xml:space="preserve">Notes</w:t>
            </w:r>
          </w:p>
        </w:tc>
      </w:tr>
      <w:tr>
        <w:tc>
          <w:tcPr>
            <w:tcW w:type="pct" w:w="38%"/>
          </w:tcPr>
          <w:p>
            <w:r>
              <w:t xml:space="preserve">1.0</w:t>
            </w:r>
          </w:p>
        </w:tc>
        <w:tc>
          <w:tcPr>
            <w:tcW w:type="pct" w:w="62%"/>
          </w:tcPr>
          <w:p>
            <w:r>
              <w:t xml:space="preserve">2026-02-12</w:t>
            </w:r>
          </w:p>
        </w:tc>
      </w:tr>
    </w:tbl>
    <w:sectPr>
      <w:headerReference w:type="default" r:id="rId6"/>
      <w:footerReference w:type="default" r:id="rId7"/>
      <w:pgSz w:w="11906" w:h="16838" w:orient="portrait"/>
      <w:pgMar w:top="1440" w:right="1440" w:bottom="1440" w:left="1440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jc w:val="right"/>
    </w:pPr>
    <w:r>
      <w:rPr>
        <w:color w:val="4472C4"/>
      </w:rPr>
      <w:fldChar w:fldCharType="begin"/>
      <w:instrText xml:space="preserve">PAGE</w:instrText>
      <w:fldChar w:fldCharType="separate"/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jc w:val="right"/>
    </w:pPr>
    <w:r>
      <w:rPr>
        <w:color w:val="4472C4"/>
        <w:sz w:val="18"/>
        <w:szCs w:val="18"/>
      </w:rPr>
      <w:t xml:space="preserve">IpDoor s.r.l.  Via A. Ferrero, 9a</w:t>
    </w:r>
    <w:r>
      <w:rPr>
        <w:color w:val="4472C4"/>
        <w:sz w:val="18"/>
        <w:szCs w:val="18"/>
      </w:rPr>
      <w:br/>
      <w:t xml:space="preserve">35133 – Padova (PD) ITALY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multiLevelType w:val="hybridMultilevel"/>
    <w:lvl w:ilvl="0" w15:tentative="1">
      <w:start w:val="1"/>
      <w:numFmt w:val="decimal"/>
      <w:lvlText w:val="%1."/>
      <w:lvlJc w:val="left"/>
      <w:pPr>
        <w:ind w:left="720" w:hanging="360"/>
      </w:pPr>
    </w:lvl>
  </w:abstractNum>
  <w:abstractNum w:abstractNumId="3" w15:restartNumberingAfterBreak="0">
    <w:multiLevelType w:val="hybridMultilevel"/>
    <w:lvl w:ilvl="0" w15:tentative="1">
      <w:start w:val="1"/>
      <w:numFmt w:val="decimal"/>
      <w:lvlText w:val="%1."/>
      <w:lvlJc w:val="left"/>
      <w:pPr>
        <w:ind w:left="720" w:hanging="360"/>
      </w:pPr>
    </w:lvl>
  </w:abstractNum>
  <w:num w:numId="1">
    <w:abstractNumId w:val="1"/>
    <w:lvlOverride w:ilvl="0">
      <w:startOverride w:val="1"/>
    </w:lvlOverride>
  </w:num>
  <w:num w:numId="2">
    <w:abstractNumId w:val="3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oppins" w:cs="Poppins" w:eastAsia="Poppins" w:hAnsi="Poppins"/>
        <w:color w:val="000000"/>
        <w:sz w:val="22"/>
        <w:szCs w:val="22"/>
      </w:rPr>
    </w:rPrDefault>
    <w:pPrDefault>
      <w:pPr>
        <w:spacing w:line="276"/>
      </w:pPr>
    </w:pPrDefault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Heading1">
    <w:name w:val="Heading 1"/>
    <w:basedOn w:val="Normal"/>
    <w:next w:val="Normal"/>
    <w:qFormat/>
    <w:pPr>
      <w:spacing w:before="360" w:after="160"/>
    </w:pPr>
    <w:rPr>
      <w:rFonts w:ascii="Poppins" w:cs="Poppins" w:eastAsia="Poppins" w:hAnsi="Poppins"/>
      <w:b/>
      <w:bCs/>
      <w:color w:val="1F4E79"/>
      <w:sz w:val="44"/>
      <w:szCs w:val="44"/>
    </w:rPr>
  </w:style>
  <w:style w:type="paragraph" w:styleId="Heading2">
    <w:name w:val="Heading 2"/>
    <w:basedOn w:val="Normal"/>
    <w:next w:val="Normal"/>
    <w:qFormat/>
    <w:pPr>
      <w:spacing w:before="200" w:after="120"/>
    </w:pPr>
    <w:rPr>
      <w:rFonts w:ascii="Poppins" w:cs="Poppins" w:eastAsia="Poppins" w:hAnsi="Poppins"/>
      <w:b/>
      <w:bCs/>
      <w:color w:val="1F4E79"/>
      <w:sz w:val="32"/>
      <w:szCs w:val="32"/>
    </w:rPr>
  </w:style>
  <w:style w:type="paragraph" w:styleId="Heading3">
    <w:name w:val="Heading 3"/>
    <w:basedOn w:val="Normal"/>
    <w:next w:val="Normal"/>
    <w:qFormat/>
    <w:pPr>
      <w:spacing w:before="160" w:after="80"/>
    </w:pPr>
    <w:rPr>
      <w:rFonts w:ascii="Poppins" w:cs="Poppins" w:eastAsia="Poppins" w:hAnsi="Poppins"/>
      <w:b/>
      <w:bCs/>
      <w:color w:val="1F4E79"/>
      <w:sz w:val="26"/>
      <w:szCs w:val="26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image" Target="media/0caac0ae47bb0ab59a97c75468beaeb402443fa4.png"/><Relationship Id="rId9" Type="http://schemas.openxmlformats.org/officeDocument/2006/relationships/image" Target="media/6d805813236674657eb8aba8edcf9b9dd40c1ee5.png"/><Relationship Id="rId10" Type="http://schemas.openxmlformats.org/officeDocument/2006/relationships/image" Target="media/8e6d2875624bb111d87acaa05c8f5666d0e9be43.png"/><Relationship Id="rId11" Type="http://schemas.openxmlformats.org/officeDocument/2006/relationships/image" Target="media/d25b8ebf5f1529178da57e7eae791649938b4752.png"/><Relationship Id="rId12" Type="http://schemas.openxmlformats.org/officeDocument/2006/relationships/image" Target="media/113318f877097c80c67bfb682d4bb976a12d77a2.png"/><Relationship Id="rId13" Type="http://schemas.openxmlformats.org/officeDocument/2006/relationships/image" Target="media/a189ef943083a6db617aee5a42243e88d64f909f.png"/><Relationship Id="rId14" Type="http://schemas.openxmlformats.org/officeDocument/2006/relationships/image" Target="media/5484500107fae5fd2773fe0fa1f42020152dbbfd.png"/><Relationship Id="rId15" Type="http://schemas.openxmlformats.org/officeDocument/2006/relationships/image" Target="media/85fd97304809659633cf0f48b851bf9ac232126e.png"/><Relationship Id="rId16" Type="http://schemas.openxmlformats.org/officeDocument/2006/relationships/image" Target="media/4b623491ac680ddb3178726235b138173bebf7d8.png"/><Relationship Id="rId17" Type="http://schemas.openxmlformats.org/officeDocument/2006/relationships/image" Target="media/45aa8d2b738261b782548728e61b79b1715ba827.png"/><Relationship Id="rId18" Type="http://schemas.openxmlformats.org/officeDocument/2006/relationships/image" Target="media/dd05fd7c929bf36ff1a0c27b555914bd67d3de0b.png"/><Relationship Id="rId19" Type="http://schemas.openxmlformats.org/officeDocument/2006/relationships/image" Target="media/b0a4fe451329924befdd2d69d2ecffa87e880fb7.png"/><Relationship Id="rId20" Type="http://schemas.openxmlformats.org/officeDocument/2006/relationships/image" Target="media/7431d290fd643ecb0b2c90672c1093e86ad881e6.png"/><Relationship Id="rId21" Type="http://schemas.openxmlformats.org/officeDocument/2006/relationships/image" Target="media/1b0fce755642d1bc1af7e4d214f51f0c32caa43b.png"/><Relationship Id="rId22" Type="http://schemas.openxmlformats.org/officeDocument/2006/relationships/image" Target="media/09e49b65dd2cd79ccc594847c686e77f23530a2f.png"/><Relationship Id="rId23" Type="http://schemas.openxmlformats.org/officeDocument/2006/relationships/image" Target="media/1f9139c72be309c09bdf11095db15769581be244.png"/><Relationship Id="rId24" Type="http://schemas.openxmlformats.org/officeDocument/2006/relationships/fontTable" Target="fontTable.xml"/></Relationships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2026-02-12T21:52:03.684Z</dcterms:created>
  <dcterms:modified xsi:type="dcterms:W3CDTF">2026-02-12T21:52:03.684Z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